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70A" w:rsidRDefault="0029470A" w:rsidP="0029470A">
      <w:pPr>
        <w:pStyle w:val="Heading4"/>
      </w:pPr>
      <w:bookmarkStart w:id="0" w:name="_Toc256000818"/>
      <w:r>
        <w:rPr>
          <w:noProof/>
        </w:rPr>
        <w:t>I.Б.17 - Обвързано с производството подпомагане на доходите за оранжерийно производство</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29470A" w:rsidTr="003F7C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rPr>
                <w:color w:val="000000"/>
                <w:sz w:val="20"/>
              </w:rPr>
            </w:pPr>
            <w:r>
              <w:rPr>
                <w:noProof/>
                <w:color w:val="000000"/>
                <w:sz w:val="20"/>
              </w:rPr>
              <w:t>I.Б.17</w:t>
            </w:r>
          </w:p>
        </w:tc>
      </w:tr>
      <w:tr w:rsidR="0029470A" w:rsidTr="003F7C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rPr>
                <w:color w:val="000000"/>
                <w:sz w:val="20"/>
              </w:rPr>
            </w:pPr>
            <w:r>
              <w:rPr>
                <w:noProof/>
                <w:color w:val="000000"/>
                <w:sz w:val="20"/>
              </w:rPr>
              <w:t>Обвързано с производството подпомагане на доходите за оранжерийно производство</w:t>
            </w:r>
          </w:p>
        </w:tc>
      </w:tr>
      <w:tr w:rsidR="0029470A" w:rsidTr="003F7C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rPr>
                <w:color w:val="000000"/>
                <w:sz w:val="20"/>
              </w:rPr>
            </w:pPr>
            <w:r>
              <w:rPr>
                <w:noProof/>
                <w:color w:val="000000"/>
                <w:sz w:val="20"/>
              </w:rPr>
              <w:t>CIS(32) - Обвързано с производството подпомагане на доходите</w:t>
            </w:r>
          </w:p>
        </w:tc>
      </w:tr>
      <w:tr w:rsidR="0029470A" w:rsidTr="003F7C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rPr>
                <w:color w:val="000000"/>
                <w:sz w:val="20"/>
              </w:rPr>
            </w:pPr>
            <w:r>
              <w:rPr>
                <w:noProof/>
                <w:color w:val="000000"/>
                <w:sz w:val="20"/>
              </w:rPr>
              <w:t>O.10. Брой на хектарите, за които се ползва обвързано с производството подпомагане на доходите</w:t>
            </w:r>
          </w:p>
        </w:tc>
      </w:tr>
    </w:tbl>
    <w:p w:rsidR="0029470A" w:rsidRDefault="0029470A" w:rsidP="0029470A">
      <w:pPr>
        <w:pStyle w:val="Heading5"/>
        <w:rPr>
          <w:b w:val="0"/>
          <w:color w:val="000000"/>
          <w:sz w:val="24"/>
        </w:rPr>
      </w:pPr>
      <w:bookmarkStart w:id="1" w:name="_Toc256000819"/>
      <w:r>
        <w:rPr>
          <w:b w:val="0"/>
          <w:noProof/>
          <w:color w:val="000000"/>
          <w:sz w:val="24"/>
        </w:rPr>
        <w:t>1 Териториално приложение и ако е уместно, регионално измерение</w:t>
      </w:r>
      <w:bookmarkEnd w:id="1"/>
    </w:p>
    <w:p w:rsidR="0029470A" w:rsidRDefault="0029470A" w:rsidP="0029470A">
      <w:pPr>
        <w:rPr>
          <w:color w:val="000000"/>
          <w:sz w:val="0"/>
        </w:rPr>
      </w:pPr>
      <w:r>
        <w:rPr>
          <w:noProof/>
          <w:color w:val="000000"/>
        </w:rPr>
        <w:t xml:space="preserve">Териториално приложение: </w:t>
      </w:r>
      <w:r>
        <w:rPr>
          <w:b/>
          <w:noProof/>
          <w:color w:val="000000"/>
        </w:rPr>
        <w:t>Национално равнище</w:t>
      </w:r>
    </w:p>
    <w:p w:rsidR="0029470A" w:rsidRDefault="0029470A" w:rsidP="0029470A">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29470A" w:rsidTr="003F7CE1">
        <w:trPr>
          <w:trHeight w:val="160"/>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29470A" w:rsidRDefault="0029470A" w:rsidP="003F7CE1">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29470A" w:rsidRDefault="0029470A" w:rsidP="003F7CE1">
            <w:pPr>
              <w:rPr>
                <w:color w:val="000000"/>
                <w:sz w:val="20"/>
              </w:rPr>
            </w:pPr>
            <w:r>
              <w:rPr>
                <w:b/>
                <w:noProof/>
                <w:color w:val="000000"/>
                <w:sz w:val="20"/>
              </w:rPr>
              <w:t>Описание</w:t>
            </w:r>
          </w:p>
        </w:tc>
      </w:tr>
      <w:tr w:rsidR="0029470A" w:rsidTr="003F7C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rPr>
                <w:color w:val="000000"/>
                <w:sz w:val="20"/>
              </w:rPr>
            </w:pPr>
            <w:r>
              <w:rPr>
                <w:noProof/>
                <w:color w:val="000000"/>
                <w:sz w:val="20"/>
              </w:rPr>
              <w:t xml:space="preserve">България </w:t>
            </w:r>
          </w:p>
        </w:tc>
      </w:tr>
    </w:tbl>
    <w:p w:rsidR="0029470A" w:rsidRDefault="0029470A" w:rsidP="0029470A">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29470A"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9470A" w:rsidRDefault="0029470A" w:rsidP="003F7CE1">
            <w:pPr>
              <w:spacing w:before="40" w:after="40"/>
            </w:pPr>
            <w:r>
              <w:rPr>
                <w:noProof/>
              </w:rPr>
              <w:t>Интервенцията се прилага на територията на цялата страна.</w:t>
            </w:r>
          </w:p>
        </w:tc>
      </w:tr>
    </w:tbl>
    <w:p w:rsidR="0029470A" w:rsidRDefault="0029470A" w:rsidP="0029470A">
      <w:pPr>
        <w:pStyle w:val="Heading5"/>
        <w:spacing w:before="20" w:after="20"/>
        <w:rPr>
          <w:b w:val="0"/>
          <w:i w:val="0"/>
          <w:color w:val="000000"/>
          <w:sz w:val="24"/>
        </w:rPr>
      </w:pPr>
      <w:bookmarkStart w:id="2" w:name="_Toc256000820"/>
      <w:r>
        <w:rPr>
          <w:b w:val="0"/>
          <w:i w:val="0"/>
          <w:noProof/>
          <w:color w:val="000000"/>
          <w:sz w:val="24"/>
        </w:rPr>
        <w:t>2 Свързани специфични цели, междусекторна цел и уместни секторни цели</w:t>
      </w:r>
      <w:bookmarkEnd w:id="2"/>
    </w:p>
    <w:p w:rsidR="0029470A" w:rsidRDefault="0029470A" w:rsidP="0029470A">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29470A" w:rsidTr="003F7C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rPr>
                <w:b/>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29470A" w:rsidTr="003F7C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rPr>
                <w:color w:val="000000"/>
                <w:sz w:val="20"/>
              </w:rPr>
            </w:pPr>
            <w:r>
              <w:rPr>
                <w:b/>
                <w:noProof/>
                <w:color w:val="000000"/>
                <w:sz w:val="20"/>
              </w:rPr>
              <w:t>SO1 Подпомагане за достатъчно надежден земеделски доход и устойчивост на селското стопанство в Съюза с цел подобряване на дългосрочната продоволствена сигурност и разнообразието в селското стопанство, както и за гарантиране на икономическата устойчивост на селскостопанското производство в Съюза</w:t>
            </w:r>
          </w:p>
        </w:tc>
      </w:tr>
      <w:tr w:rsidR="0029470A" w:rsidTr="003F7C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rPr>
                <w:color w:val="000000"/>
                <w:sz w:val="20"/>
              </w:rPr>
            </w:pPr>
            <w:r>
              <w:rPr>
                <w:noProof/>
                <w:color w:val="000000"/>
                <w:sz w:val="20"/>
              </w:rPr>
              <w:t>SO2 Подобряване на ориентацията на пазара и увеличаване на конкурентоспособността на стопанствата в краткосрочен и дългосрочен план, включително по-голям фокус върху научноизследователската дейност, технологиите и цифровизацията</w:t>
            </w:r>
          </w:p>
        </w:tc>
      </w:tr>
    </w:tbl>
    <w:p w:rsidR="0029470A" w:rsidRDefault="0029470A" w:rsidP="0029470A">
      <w:pPr>
        <w:spacing w:before="20" w:after="20"/>
        <w:rPr>
          <w:color w:val="000000"/>
          <w:sz w:val="0"/>
        </w:rPr>
      </w:pPr>
    </w:p>
    <w:p w:rsidR="0029470A" w:rsidRDefault="0029470A" w:rsidP="0029470A">
      <w:pPr>
        <w:pStyle w:val="Heading5"/>
        <w:spacing w:before="20" w:after="20"/>
        <w:rPr>
          <w:b w:val="0"/>
          <w:i w:val="0"/>
          <w:color w:val="000000"/>
          <w:sz w:val="24"/>
        </w:rPr>
      </w:pPr>
      <w:bookmarkStart w:id="3" w:name="_Toc256000821"/>
      <w:r>
        <w:rPr>
          <w:b w:val="0"/>
          <w:i w:val="0"/>
          <w:noProof/>
          <w:color w:val="000000"/>
          <w:sz w:val="24"/>
        </w:rPr>
        <w:t>3 Потребности, обхванати от интервенцията</w:t>
      </w:r>
      <w:bookmarkEnd w:id="3"/>
    </w:p>
    <w:p w:rsidR="0029470A" w:rsidRDefault="0029470A" w:rsidP="0029470A">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29470A"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rPr>
                <w:color w:val="000000"/>
                <w:sz w:val="20"/>
              </w:rPr>
            </w:pPr>
            <w:r>
              <w:rPr>
                <w:b/>
                <w:noProof/>
                <w:color w:val="000000"/>
                <w:sz w:val="20"/>
              </w:rPr>
              <w:t>Разгледана в стратегически план по ОСП</w:t>
            </w:r>
          </w:p>
        </w:tc>
      </w:tr>
      <w:tr w:rsidR="0029470A"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rPr>
                <w:color w:val="000000"/>
                <w:sz w:val="20"/>
              </w:rPr>
            </w:pPr>
            <w:r>
              <w:rPr>
                <w:noProof/>
                <w:color w:val="000000"/>
                <w:sz w:val="20"/>
              </w:rPr>
              <w:t>П.1.3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rPr>
                <w:color w:val="000000"/>
                <w:sz w:val="20"/>
              </w:rPr>
            </w:pPr>
            <w:r>
              <w:rPr>
                <w:noProof/>
                <w:color w:val="000000"/>
                <w:sz w:val="20"/>
              </w:rPr>
              <w:t xml:space="preserve"> Потребност от подпомагане на земеделските стопанства в секторите зеленчуци, трайни насаждения и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rPr>
                <w:color w:val="000000"/>
                <w:sz w:val="20"/>
              </w:rPr>
            </w:pPr>
            <w:r>
              <w:rPr>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rPr>
                <w:color w:val="000000"/>
                <w:sz w:val="20"/>
              </w:rPr>
            </w:pPr>
            <w:r>
              <w:rPr>
                <w:noProof/>
                <w:color w:val="000000"/>
                <w:sz w:val="20"/>
              </w:rPr>
              <w:t>Да</w:t>
            </w:r>
          </w:p>
        </w:tc>
      </w:tr>
      <w:tr w:rsidR="0029470A"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rPr>
                <w:color w:val="000000"/>
                <w:sz w:val="20"/>
              </w:rPr>
            </w:pPr>
            <w:r>
              <w:rPr>
                <w:noProof/>
                <w:color w:val="000000"/>
                <w:sz w:val="20"/>
              </w:rPr>
              <w:t>П.2.1.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rPr>
                <w:color w:val="000000"/>
                <w:sz w:val="20"/>
              </w:rPr>
            </w:pPr>
            <w:r>
              <w:rPr>
                <w:noProof/>
                <w:color w:val="000000"/>
                <w:sz w:val="20"/>
              </w:rPr>
              <w:t>Повишаване на конкурентоспособността на стопанствата в секторите производство на зеленчуци, плодо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rPr>
                <w:color w:val="000000"/>
                <w:sz w:val="20"/>
              </w:rPr>
            </w:pPr>
            <w:r>
              <w:rPr>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rPr>
                <w:color w:val="000000"/>
                <w:sz w:val="20"/>
              </w:rPr>
            </w:pPr>
            <w:r>
              <w:rPr>
                <w:noProof/>
                <w:color w:val="000000"/>
                <w:sz w:val="20"/>
              </w:rPr>
              <w:t>Да</w:t>
            </w:r>
          </w:p>
        </w:tc>
      </w:tr>
    </w:tbl>
    <w:p w:rsidR="0029470A" w:rsidRDefault="0029470A" w:rsidP="0029470A">
      <w:pPr>
        <w:pStyle w:val="Heading5"/>
        <w:spacing w:before="20" w:after="20"/>
        <w:rPr>
          <w:b w:val="0"/>
          <w:i w:val="0"/>
          <w:color w:val="000000"/>
          <w:sz w:val="24"/>
        </w:rPr>
      </w:pPr>
      <w:bookmarkStart w:id="4" w:name="_Toc256000822"/>
      <w:r>
        <w:rPr>
          <w:b w:val="0"/>
          <w:i w:val="0"/>
          <w:noProof/>
          <w:color w:val="000000"/>
          <w:sz w:val="24"/>
        </w:rPr>
        <w:t>4 Показател(и) за резултатите</w:t>
      </w:r>
      <w:bookmarkEnd w:id="4"/>
    </w:p>
    <w:p w:rsidR="0029470A" w:rsidRDefault="0029470A" w:rsidP="0029470A">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29470A"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29470A"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rPr>
                <w:color w:val="000000"/>
                <w:sz w:val="20"/>
              </w:rPr>
            </w:pPr>
            <w:r>
              <w:rPr>
                <w:noProof/>
                <w:color w:val="000000"/>
                <w:sz w:val="20"/>
              </w:rPr>
              <w:t>R.4 Дял на използваната земеделска площ (ИЗП), обхваната от схеми за подпомагане на доходите при обвързаност с предварителни условия</w:t>
            </w:r>
          </w:p>
        </w:tc>
      </w:tr>
      <w:tr w:rsidR="0029470A"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rPr>
                <w:color w:val="000000"/>
                <w:sz w:val="20"/>
              </w:rPr>
            </w:pPr>
            <w:r>
              <w:rPr>
                <w:noProof/>
                <w:color w:val="000000"/>
                <w:sz w:val="20"/>
              </w:rPr>
              <w:t>R.6 Процент на допълнителните преки плащания на хектар за отговарящи на условията за подпомагане стопанства с размер под средния за стопанствата (в сравнение със средната стойност)</w:t>
            </w:r>
          </w:p>
        </w:tc>
      </w:tr>
      <w:tr w:rsidR="0029470A"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rPr>
                <w:color w:val="000000"/>
                <w:sz w:val="20"/>
              </w:rPr>
            </w:pPr>
            <w:r>
              <w:rPr>
                <w:noProof/>
                <w:color w:val="000000"/>
                <w:sz w:val="20"/>
              </w:rPr>
              <w:t>R.7 Процент на допълнителното подпомагане на хектар в районите с по-големи потребности (в сравнение със средната стойност)</w:t>
            </w:r>
          </w:p>
        </w:tc>
      </w:tr>
      <w:tr w:rsidR="0029470A"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rPr>
                <w:color w:val="000000"/>
                <w:sz w:val="20"/>
              </w:rPr>
            </w:pPr>
            <w:r>
              <w:rPr>
                <w:noProof/>
                <w:color w:val="000000"/>
                <w:sz w:val="20"/>
              </w:rPr>
              <w:t>R.8 Дял на стопанствата, ползващи се от обвързано с производството подпомагане на доходите с цел подобряване на конкурентоспособността, устойчивостта или качеството</w:t>
            </w:r>
          </w:p>
        </w:tc>
      </w:tr>
    </w:tbl>
    <w:p w:rsidR="0029470A" w:rsidRDefault="0029470A" w:rsidP="0029470A">
      <w:pPr>
        <w:pStyle w:val="Heading5"/>
        <w:spacing w:before="20" w:after="20"/>
        <w:rPr>
          <w:b w:val="0"/>
          <w:i w:val="0"/>
          <w:color w:val="000000"/>
          <w:sz w:val="24"/>
        </w:rPr>
      </w:pPr>
      <w:bookmarkStart w:id="5" w:name="_Toc256000823"/>
      <w:r>
        <w:rPr>
          <w:b w:val="0"/>
          <w:i w:val="0"/>
          <w:noProof/>
          <w:color w:val="000000"/>
          <w:sz w:val="24"/>
        </w:rPr>
        <w:t>5 Конкретен план, изисквания и условия за допустимост на интервенцията</w:t>
      </w:r>
      <w:bookmarkEnd w:id="5"/>
    </w:p>
    <w:p w:rsidR="0029470A" w:rsidRDefault="0029470A" w:rsidP="0029470A">
      <w:pPr>
        <w:spacing w:before="20" w:after="20"/>
        <w:rPr>
          <w:color w:val="000000"/>
        </w:rPr>
      </w:pPr>
      <w:r>
        <w:rPr>
          <w:noProof/>
          <w:color w:val="000000"/>
        </w:rPr>
        <w:t>Описание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29470A"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9470A" w:rsidRDefault="0029470A" w:rsidP="003F7CE1">
            <w:pPr>
              <w:spacing w:before="40" w:after="40"/>
            </w:pPr>
            <w:r>
              <w:rPr>
                <w:noProof/>
              </w:rPr>
              <w:t xml:space="preserve">В рамките на тази интервенция се предвижда подпомагане на доходите на стопанства, осъществяващи дейността си в производство на зеленчуци и плодове оранжерийно производство </w:t>
            </w:r>
            <w:r>
              <w:rPr>
                <w:noProof/>
              </w:rPr>
              <w:lastRenderedPageBreak/>
              <w:t>от културите домати, краставици, пипер, ягоди и малини. Очакваме тази подкрепа да спомогне за увеличаване на тяхната конкурентоспособност, икономическата им жизнеспособност, повишаване на нивото на специализацията им и подобряване на тяхната пазарна ориентация. Чрез този вид целенасочена подкрепа ще се създадат благоприятни условия за развитие на дейността на стопанствата, увеличавайки техния икономически потенциал и подобрявайки ликвидността им.</w:t>
            </w:r>
          </w:p>
          <w:p w:rsidR="0029470A" w:rsidRDefault="0029470A" w:rsidP="003F7CE1">
            <w:pPr>
              <w:spacing w:before="40" w:after="40"/>
            </w:pPr>
            <w:r>
              <w:rPr>
                <w:noProof/>
              </w:rPr>
              <w:t>Интервенцията е обвързана с вида на производството, насочена е към всички земеделски стопани, които произвеждат от допустимите за подпомагане култури оранжерийно производство.</w:t>
            </w:r>
          </w:p>
          <w:p w:rsidR="0029470A" w:rsidRDefault="0029470A" w:rsidP="003F7CE1">
            <w:pPr>
              <w:spacing w:before="40" w:after="40"/>
            </w:pPr>
            <w:r>
              <w:rPr>
                <w:noProof/>
              </w:rPr>
              <w:t>Подпомагането по тази интервенция се предоставя под формата на годишно плащане на хектар земеделска земя, от която е добит и реализиран на пазара добив от допустимите за подпомагане култури, определен съобразно спецификите за всяка конкретна култура.</w:t>
            </w:r>
          </w:p>
        </w:tc>
      </w:tr>
    </w:tbl>
    <w:p w:rsidR="0029470A" w:rsidRDefault="0029470A" w:rsidP="0029470A">
      <w:pPr>
        <w:spacing w:before="20" w:after="20"/>
        <w:rPr>
          <w:color w:val="000000"/>
        </w:rPr>
      </w:pPr>
      <w:r>
        <w:rPr>
          <w:noProof/>
          <w:color w:val="000000"/>
        </w:rPr>
        <w:lastRenderedPageBreak/>
        <w:t xml:space="preserve">Определете бенефициерите, отговарящи на критериите, както и специфичните критерии за допустимост, когато е уместно, за бенефициерите, за площта и когато е приложимо, за другите съответни задължения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29470A"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9470A" w:rsidRDefault="0029470A" w:rsidP="003F7CE1">
            <w:pPr>
              <w:spacing w:before="40" w:after="40"/>
            </w:pPr>
            <w:r>
              <w:rPr>
                <w:noProof/>
              </w:rPr>
              <w:t>Земеделски стопани, които имат право на подпомагане по интервенцията за основно подпомагане на доходите за устойчивост и които отговарят на дефиницията за "активен земеделски стопанин“.</w:t>
            </w:r>
          </w:p>
          <w:p w:rsidR="0029470A" w:rsidRDefault="0029470A" w:rsidP="003F7CE1">
            <w:pPr>
              <w:spacing w:before="40" w:after="40"/>
            </w:pPr>
            <w:r>
              <w:rPr>
                <w:noProof/>
              </w:rPr>
              <w:t>Земеделски стопани, които стопанисват и заявяват за подпомагане минимум 0,5 ха допустими за подпомагане площи оранжерийно производство (заедно или поотделно), от следните видове култури: домати, краставици, пипер, ягоди и малини. За достигане на минималния праг от 0,5 ха е възможно комбинирането при заявяване с интервенциите за обвързано подпомагане на доходите за зеленчуци полско производство, но по конкретната интервенция се заявяват само площи, заети с културите домати, краставици, пипер, ягоди и малини оранжерийно производство.</w:t>
            </w:r>
          </w:p>
          <w:p w:rsidR="0029470A" w:rsidRDefault="0029470A" w:rsidP="003F7CE1">
            <w:pPr>
              <w:spacing w:before="40" w:after="40"/>
              <w:jc w:val="both"/>
            </w:pPr>
            <w:r>
              <w:rPr>
                <w:noProof/>
              </w:rPr>
              <w:t>Бенефициентите по интервенцията получават подпомагане, когато през съответната година са добили и реализирали на пазара добив от допустимите за подпомагане култури, определен съобразно спецификите за всяка конкретна култура и метода й на отглеждане. Кандидатите с площи със сертифицирано биологично производство и площите в преход към биологично земеделие удостоверяват минимални и средни добиви от заявените площи за съответната култура в размер на 50% от определените за културата по интервенцията. Полученият и реализиран на пазара добив се удостоверява с документи за реализация на продукцията.</w:t>
            </w:r>
          </w:p>
          <w:p w:rsidR="0029470A" w:rsidRDefault="0029470A" w:rsidP="003F7CE1">
            <w:pPr>
              <w:spacing w:before="40" w:after="40"/>
              <w:jc w:val="both"/>
            </w:pPr>
            <w:r>
              <w:rPr>
                <w:noProof/>
              </w:rPr>
              <w:t xml:space="preserve">Считано от кампания </w:t>
            </w:r>
            <w:r w:rsidRPr="00660615">
              <w:rPr>
                <w:strike/>
                <w:noProof/>
              </w:rPr>
              <w:t>2026</w:t>
            </w:r>
            <w:r w:rsidR="00660615">
              <w:rPr>
                <w:noProof/>
              </w:rPr>
              <w:t xml:space="preserve"> </w:t>
            </w:r>
            <w:r w:rsidR="00660615" w:rsidRPr="00660615">
              <w:rPr>
                <w:noProof/>
                <w:color w:val="FF0000"/>
              </w:rPr>
              <w:t>2027</w:t>
            </w:r>
            <w:r>
              <w:rPr>
                <w:noProof/>
              </w:rPr>
              <w:t xml:space="preserve"> ще се приложи разграничение в изискуемия добив за отопляеми и неотопляеми оранжерии, периоди, до които следва да е реализирана продукция по култури от отопляеми оранжерии, както и изискване за инсталирана отоплителна инсталация с определена мощност на дка площ за отопляеми оранжерии.</w:t>
            </w:r>
          </w:p>
          <w:p w:rsidR="0029470A" w:rsidRDefault="0029470A" w:rsidP="003F7CE1">
            <w:pPr>
              <w:spacing w:before="40" w:after="40"/>
              <w:jc w:val="both"/>
            </w:pPr>
            <w:r>
              <w:rPr>
                <w:noProof/>
              </w:rPr>
              <w:t>Бенефициентите по интервенцията предоставят документи за закупени сертифицирани и/или стандартни семена и/или посадъчен материал, съобразно размера на площите, с които кандидатстват за подпомагане, и разходната норма за единица площ с изключение на съществуващите от предходни години насаждения с ягоди и малини.</w:t>
            </w:r>
          </w:p>
          <w:p w:rsidR="0029470A" w:rsidRDefault="0029470A" w:rsidP="003F7CE1">
            <w:pPr>
              <w:spacing w:before="40" w:after="40"/>
              <w:jc w:val="both"/>
            </w:pPr>
            <w:r>
              <w:rPr>
                <w:noProof/>
              </w:rPr>
              <w:t>При производството следва да са спазени съответните минимални агротехнически мероприятия.</w:t>
            </w:r>
          </w:p>
        </w:tc>
      </w:tr>
    </w:tbl>
    <w:p w:rsidR="0029470A" w:rsidRDefault="0029470A" w:rsidP="0029470A">
      <w:pPr>
        <w:pStyle w:val="Heading5"/>
        <w:spacing w:before="20" w:after="20"/>
        <w:rPr>
          <w:b w:val="0"/>
          <w:i w:val="0"/>
          <w:color w:val="000000"/>
          <w:sz w:val="24"/>
        </w:rPr>
      </w:pPr>
      <w:bookmarkStart w:id="6" w:name="_Toc256000824"/>
      <w:r>
        <w:rPr>
          <w:b w:val="0"/>
          <w:i w:val="0"/>
          <w:noProof/>
          <w:color w:val="000000"/>
          <w:sz w:val="24"/>
        </w:rPr>
        <w:t>6 Определяне на уместни базови характеристики</w:t>
      </w:r>
      <w:bookmarkEnd w:id="6"/>
    </w:p>
    <w:p w:rsidR="0029470A" w:rsidRDefault="0029470A" w:rsidP="0029470A">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29470A" w:rsidRDefault="0029470A" w:rsidP="0029470A">
      <w:pPr>
        <w:spacing w:before="20" w:after="20"/>
        <w:rPr>
          <w:color w:val="000000"/>
        </w:rPr>
      </w:pPr>
      <w:r>
        <w:rPr>
          <w:noProof/>
          <w:color w:val="000000"/>
        </w:rPr>
        <w:t>Неприложимо</w:t>
      </w:r>
    </w:p>
    <w:p w:rsidR="0029470A" w:rsidRDefault="0029470A" w:rsidP="0029470A">
      <w:pPr>
        <w:pStyle w:val="Heading5"/>
        <w:spacing w:before="20" w:after="20"/>
        <w:rPr>
          <w:b w:val="0"/>
          <w:i w:val="0"/>
          <w:color w:val="000000"/>
          <w:sz w:val="24"/>
        </w:rPr>
      </w:pPr>
      <w:bookmarkStart w:id="7" w:name="_Toc256000825"/>
      <w:r>
        <w:rPr>
          <w:b w:val="0"/>
          <w:i w:val="0"/>
          <w:noProof/>
          <w:color w:val="000000"/>
          <w:sz w:val="24"/>
        </w:rPr>
        <w:t>7 Обхват и суми на подпомагането</w:t>
      </w:r>
      <w:bookmarkEnd w:id="7"/>
    </w:p>
    <w:p w:rsidR="0029470A" w:rsidRDefault="0029470A" w:rsidP="0029470A">
      <w:pPr>
        <w:spacing w:before="20" w:after="20"/>
        <w:rPr>
          <w:color w:val="000000"/>
        </w:rPr>
      </w:pPr>
      <w:r>
        <w:rPr>
          <w:noProof/>
          <w:color w:val="000000"/>
        </w:rPr>
        <w:t>Описание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29470A"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9470A" w:rsidRDefault="0029470A" w:rsidP="003F7CE1">
            <w:pPr>
              <w:spacing w:before="40" w:after="40"/>
              <w:jc w:val="both"/>
            </w:pPr>
            <w:r>
              <w:rPr>
                <w:noProof/>
                <w:color w:val="000000"/>
              </w:rPr>
              <w:t xml:space="preserve">Плащането по интервенцията е на хектар допустима земеделска земя. </w:t>
            </w:r>
          </w:p>
          <w:p w:rsidR="0029470A" w:rsidRDefault="0029470A" w:rsidP="003F7CE1">
            <w:pPr>
              <w:spacing w:before="40" w:after="40"/>
              <w:jc w:val="both"/>
            </w:pPr>
            <w:r>
              <w:rPr>
                <w:noProof/>
                <w:color w:val="000000"/>
              </w:rPr>
              <w:t xml:space="preserve">При определяне на нивата на подкрепа по интервенциите изцяло сме се водили от данните за рентабилност на отделните подсектори, индивидуалните трудности, които изпитват, постоянно повишаващите се разходи, именно затова в сектора за производство на плодове и зеленчуци културите са групирани според необходимостта от определена степен на подкрепа. Размерът на подпомагане е определен с оглед постигането на задоволителна добавка към по-високите нужди от </w:t>
            </w:r>
            <w:r>
              <w:rPr>
                <w:noProof/>
                <w:color w:val="000000"/>
              </w:rPr>
              <w:lastRenderedPageBreak/>
              <w:t xml:space="preserve">подкрепа на доходите на земеделските стопани в секторите с ниска рентабилност, стимулиращ ги да продължат земеделското производство. При дефинирането на нивото на подпомагането сме се съобразили и с това да има известна предвидимост чрез осигуряване на последователност и приемственост в подкрепата за земеделските стопани, за да бъдат удовлетворени очакванията на бенефициерите, които са били обект на подкрепа до момента. </w:t>
            </w:r>
          </w:p>
          <w:p w:rsidR="0029470A" w:rsidRDefault="0029470A" w:rsidP="003F7CE1">
            <w:pPr>
              <w:spacing w:before="40" w:after="40"/>
              <w:jc w:val="both"/>
            </w:pPr>
            <w:r>
              <w:rPr>
                <w:noProof/>
              </w:rPr>
              <w:t xml:space="preserve">Считано от кампания </w:t>
            </w:r>
            <w:r w:rsidRPr="00660615">
              <w:rPr>
                <w:strike/>
                <w:noProof/>
              </w:rPr>
              <w:t>2026</w:t>
            </w:r>
            <w:r>
              <w:rPr>
                <w:noProof/>
              </w:rPr>
              <w:t xml:space="preserve"> </w:t>
            </w:r>
            <w:r w:rsidR="00660615" w:rsidRPr="00660615">
              <w:rPr>
                <w:noProof/>
                <w:color w:val="FF0000"/>
              </w:rPr>
              <w:t>2027</w:t>
            </w:r>
            <w:r w:rsidR="00660615">
              <w:rPr>
                <w:noProof/>
              </w:rPr>
              <w:t xml:space="preserve"> </w:t>
            </w:r>
            <w:r>
              <w:rPr>
                <w:noProof/>
              </w:rPr>
              <w:t xml:space="preserve">се предвижда да се направи известно разграничение в подпомагането по интервенцията за обвързано с производството подпомагане на доходите за оранжерийно производство между отопляеми и неотопляеми оранжерии. Отопляемите оранжерии срещат по-големи трудности в дейността си и са с по-ниска рентабилност от неотопляемите поради високите разходи за отопление, несигурността и постоянно покачващите се разходи за енергоизточници, целогодишната трудова заетост, която осигуряват. Отчитайки не само разходите, но и разликите в добивите при отопляеми и неотопляеми оранжерии, които не са така съществени, както и цените, на които се реализира продукцията, които не успяват да догонят темпа на разходи, отопляемите оранжерии изпитват по-големи трудности и необходимост от по-висока подкрепа. Отопляемите оранжерии осигуряват продукция местно производство на ранен етап, бореща се с много сериозна конкуренция, предимно от трети страни, както и целогодишна трудова заетост в райони, в които земеделието е единствен поминък, а през зимните месеци – без други алтернативи. Значителна част от производителите на оранжерийна продукция постепенно преустановяват дейност в най-студените месеци и развиват такава, когато е по-благоприятно икономически за тях. Това означава все по-голямо намаление на предлагането на местна продукция през ранните месеци на годината и все по-голям дял на вноса на такава в страната преобладаващо от трети страни. За да се стопира този процес и да се отговори на резонните очаквания на земеделските стопани, от кампания </w:t>
            </w:r>
            <w:r w:rsidRPr="009135BB">
              <w:rPr>
                <w:strike/>
                <w:noProof/>
              </w:rPr>
              <w:t>2026</w:t>
            </w:r>
            <w:r w:rsidRPr="009135BB">
              <w:rPr>
                <w:noProof/>
              </w:rPr>
              <w:t xml:space="preserve"> </w:t>
            </w:r>
            <w:r w:rsidR="009135BB" w:rsidRPr="009135BB">
              <w:rPr>
                <w:noProof/>
                <w:color w:val="FF0000"/>
              </w:rPr>
              <w:t>2027</w:t>
            </w:r>
            <w:r w:rsidR="009135BB">
              <w:rPr>
                <w:noProof/>
              </w:rPr>
              <w:t xml:space="preserve"> </w:t>
            </w:r>
            <w:r>
              <w:rPr>
                <w:noProof/>
              </w:rPr>
              <w:t>по-високо ниво на подкрепа ще бъде предоставяно на оранжерийните производители, стопанисващи отопляеми оранжерии.</w:t>
            </w:r>
          </w:p>
        </w:tc>
      </w:tr>
    </w:tbl>
    <w:p w:rsidR="0029470A" w:rsidRDefault="0029470A" w:rsidP="0029470A">
      <w:pPr>
        <w:pStyle w:val="Heading5"/>
        <w:spacing w:before="20" w:after="20"/>
        <w:rPr>
          <w:b w:val="0"/>
          <w:i w:val="0"/>
          <w:color w:val="000000"/>
          <w:sz w:val="24"/>
        </w:rPr>
      </w:pPr>
      <w:bookmarkStart w:id="8" w:name="_Toc256000826"/>
      <w:r>
        <w:rPr>
          <w:b w:val="0"/>
          <w:i w:val="0"/>
          <w:noProof/>
          <w:color w:val="000000"/>
          <w:sz w:val="24"/>
        </w:rPr>
        <w:lastRenderedPageBreak/>
        <w:t>8 Допълнителни въпроси/информация за вида на интервенцията</w:t>
      </w:r>
      <w:bookmarkEnd w:id="8"/>
    </w:p>
    <w:p w:rsidR="0029470A" w:rsidRDefault="0029470A" w:rsidP="0029470A">
      <w:pPr>
        <w:spacing w:before="20" w:after="20"/>
        <w:rPr>
          <w:color w:val="000000"/>
        </w:rPr>
      </w:pPr>
      <w:r>
        <w:rPr>
          <w:noProof/>
          <w:color w:val="000000"/>
        </w:rPr>
        <w:t>Обосновка на трудностите, през които преминават целевите сектори/производства или видовете селскостопански практики, развивани в тях.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29470A"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9470A" w:rsidRDefault="0029470A" w:rsidP="003F7CE1">
            <w:pPr>
              <w:spacing w:before="40" w:after="40"/>
            </w:pPr>
            <w:r>
              <w:rPr>
                <w:noProof/>
              </w:rPr>
              <w:t>Състоянието на оранжерийното производство в страната е в силна зависимост от множество социално-икономически фактори, сред тях са недостиг на финансови средства за уедряване и модернизиране на производството; недостатъчна работна ръка и ползване на нискоквалифициран труд при производството; високи цени на торовете, продуктите за растителна защита, труда, горивата и всички енергоизточници, семена и посадъчен материал.</w:t>
            </w:r>
          </w:p>
          <w:p w:rsidR="0029470A" w:rsidRDefault="0029470A" w:rsidP="003F7CE1">
            <w:pPr>
              <w:spacing w:before="40" w:after="40"/>
            </w:pPr>
            <w:r>
              <w:rPr>
                <w:noProof/>
              </w:rPr>
              <w:t>Зеленчукопроизводството e сред най-силно засегнатите и най-силно пострадалите земеделски сектори от икономическите и политически промени през последните 30 години. Традиционно то е формирало около 15% от брутната селскостопанска продукция преди 1989 г. През 2013 г. се отчита най-ниското ниво в това производство, изразено като дял от селскостопанската продукция, равняващ се на 3,4%. Намалението във физическия обем на продукцията за последните 25-30 години е около 2,5 пъти, като през 90-те години на миналия век общият обем на зеленчуци е около 1 млн.т., а между 2000-2010 г. е вече около 700 хил. т, а след 2010 г. около 450 хил. т.</w:t>
            </w:r>
          </w:p>
          <w:p w:rsidR="0029470A" w:rsidRDefault="0029470A" w:rsidP="003F7CE1">
            <w:pPr>
              <w:spacing w:before="40" w:after="40"/>
            </w:pPr>
            <w:r>
              <w:rPr>
                <w:noProof/>
              </w:rPr>
              <w:t>По отношение на общото произведените количества продукция в оранжерии по данни на отдел „Агростатистика“, МЗХ, за периода 2018-2020 г. се наблюдава сериозно намаление. През 2020 г. спрямо 2018 година намалението в общата произведена продукция в оранжерии е малко над 29 %. При доматите то е 26.37%, а при краставиците – 30%.</w:t>
            </w:r>
          </w:p>
          <w:p w:rsidR="0029470A" w:rsidRDefault="0029470A" w:rsidP="003F7CE1">
            <w:pPr>
              <w:spacing w:before="40" w:after="40"/>
            </w:pPr>
          </w:p>
          <w:p w:rsidR="0029470A" w:rsidRDefault="0029470A" w:rsidP="003F7CE1">
            <w:pPr>
              <w:spacing w:before="40" w:after="40"/>
            </w:pPr>
            <w:r>
              <w:rPr>
                <w:noProof/>
              </w:rPr>
              <w:lastRenderedPageBreak/>
              <w:drawing>
                <wp:inline distT="0" distB="0" distL="0" distR="0" wp14:anchorId="13324B71" wp14:editId="0B84E07B">
                  <wp:extent cx="6505575" cy="3659386"/>
                  <wp:effectExtent l="0" t="0" r="0" b="0"/>
                  <wp:docPr id="100111" name="Picture 100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
                          <pic:cNvPicPr>
                            <a:picLocks noChangeAspect="1"/>
                          </pic:cNvPicPr>
                        </pic:nvPicPr>
                        <pic:blipFill>
                          <a:blip r:embed="rId4"/>
                          <a:stretch>
                            <a:fillRect/>
                          </a:stretch>
                        </pic:blipFill>
                        <pic:spPr>
                          <a:xfrm>
                            <a:off x="0" y="0"/>
                            <a:ext cx="6505575" cy="3659386"/>
                          </a:xfrm>
                          <a:prstGeom prst="rect">
                            <a:avLst/>
                          </a:prstGeom>
                        </pic:spPr>
                      </pic:pic>
                    </a:graphicData>
                  </a:graphic>
                </wp:inline>
              </w:drawing>
            </w:r>
          </w:p>
          <w:p w:rsidR="0029470A" w:rsidRDefault="0029470A" w:rsidP="003F7CE1">
            <w:pPr>
              <w:spacing w:before="40" w:after="40"/>
            </w:pPr>
            <w:r>
              <w:rPr>
                <w:noProof/>
              </w:rPr>
              <w:t>Ситуацията в сектора в последните 6 месеца е допълнително утежнена поради драстичното и непрекъснато увеличение на цените на торовете, продуктите за растителна защита, труда, горивата и всички енергоизточници, увеличение, валидно не само за България, но засягащо много тежко оранжерийните производители. Страната ни се характеризира с изключително влошено демографско състояние, което поставя производителите на оранжерийна продукция пред големи предизвикателства в осигуряването на необходимата работна ръка. Голяма част от производителите нямат подходящи условия за следберитбена обработка на получената продукция, което включва сортировка, почистване и третиране на продукцията, пакетиране и етикетиране. Тези елементи са от голяма важност за успешната реализация, а изискват огромни капиталовложения. Продукцията от плодове и зеленчуци е нетрайна в по-голямата си част, което изисква капиталовложения и по отношение на съхранението й и създава известни ограничения във връзка с транспортирането й.</w:t>
            </w:r>
          </w:p>
          <w:p w:rsidR="0029470A" w:rsidRDefault="0029470A" w:rsidP="003F7CE1">
            <w:pPr>
              <w:spacing w:before="40" w:after="40"/>
            </w:pPr>
            <w:r>
              <w:rPr>
                <w:noProof/>
              </w:rPr>
              <w:t>Високите инвестиционни разходи за създаване на нови оранжерии представлява силно лимитиращ фактор. Високите разходи за енергийните източници, високите разходи за семена и посадъчен материал, старите технологии на отглеждане водят до производство на продукция със сравнително висока себестойност. От друга страна българското производство се сблъсква на пазара с внос на по-ниски ценови нива, предимно от трети страни. Страната ни е нетен вносител на оранжерийна продукция, от което следва да се отбележи, че не могат да се посрещнат нуждите на населението и тази тенденция се задълбочава в годините. България е трайно нетен вносител на основни зеленчуци. През 2020 г. отрицателният търговски баланс при зеленчуците е на стойност от почти 77 млн. евро. Най-значим е към Турция, Гърция, но не само за цитрусови и/или тропични видове. Вносът и потреблението през зимните месеци е значим на домати, пипер, краставици, моркови, праз и др., като през януари, февруари, март, април достига до над 80% от търгуваните и потребяваните в страната основни зеленчуци. Стойността на експорта на БГ зеленчуци за 114 млн. евро, докато вноса превишава 190 млн. евро.</w:t>
            </w:r>
          </w:p>
          <w:p w:rsidR="0029470A" w:rsidRDefault="0029470A" w:rsidP="003F7CE1">
            <w:pPr>
              <w:spacing w:before="40" w:after="40"/>
            </w:pPr>
            <w:r>
              <w:rPr>
                <w:noProof/>
              </w:rPr>
              <w:lastRenderedPageBreak/>
              <w:drawing>
                <wp:inline distT="0" distB="0" distL="0" distR="0" wp14:anchorId="03A48B88" wp14:editId="5A898066">
                  <wp:extent cx="6505575" cy="3659386"/>
                  <wp:effectExtent l="0" t="0" r="0" b="0"/>
                  <wp:docPr id="100113" name="Picture 100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3" name=""/>
                          <pic:cNvPicPr>
                            <a:picLocks noChangeAspect="1"/>
                          </pic:cNvPicPr>
                        </pic:nvPicPr>
                        <pic:blipFill>
                          <a:blip r:embed="rId5"/>
                          <a:stretch>
                            <a:fillRect/>
                          </a:stretch>
                        </pic:blipFill>
                        <pic:spPr>
                          <a:xfrm>
                            <a:off x="0" y="0"/>
                            <a:ext cx="6505575" cy="3659386"/>
                          </a:xfrm>
                          <a:prstGeom prst="rect">
                            <a:avLst/>
                          </a:prstGeom>
                        </pic:spPr>
                      </pic:pic>
                    </a:graphicData>
                  </a:graphic>
                </wp:inline>
              </w:drawing>
            </w:r>
          </w:p>
          <w:p w:rsidR="0029470A" w:rsidRDefault="0029470A" w:rsidP="003F7CE1">
            <w:pPr>
              <w:spacing w:before="40" w:after="40"/>
            </w:pPr>
            <w:r>
              <w:rPr>
                <w:noProof/>
              </w:rPr>
              <w:t>Полученият факторен доход на час вложен труд в селското стопанство за периода 2007-2016 г., показва трайно изоставане, в сравнение със средното равнище в страната и с други икономически дейности. През 2016 г. в селското стопанство той е 4.5 лв./час, докато общо за икономиката е 5.3 лв./час. По-ниската доходност в сравнение със средното равнище на икономиката на страната и с други икономически дейности е заплаха за отлив на работна ръка от отрасъла, което налага подкрепа на доходите, която да гарантира определено ниво на икономическа сигурност на земеделските стопани и на техните доходите, за да останат в отрасъла и да се осигури устойчивост на производството.</w:t>
            </w:r>
          </w:p>
          <w:p w:rsidR="0029470A" w:rsidRDefault="0029470A" w:rsidP="003F7CE1">
            <w:pPr>
              <w:spacing w:before="40" w:after="40"/>
            </w:pPr>
            <w:r>
              <w:rPr>
                <w:noProof/>
              </w:rPr>
              <w:t>Производствата с по-висока добавена стойност, където се постига висока разходна интензивност, като зеленчуци и трайни насаждения у нас съставляват около 2% от ИЗП, докато в ЕС този процент е 4,3%. Наблюдава се трайна тенденция за намаление на брутната им продукция и свиване на дела им в продукцията от растениевъдство.</w:t>
            </w:r>
          </w:p>
          <w:p w:rsidR="0029470A" w:rsidRDefault="0029470A" w:rsidP="003F7CE1">
            <w:pPr>
              <w:spacing w:before="40" w:after="40"/>
            </w:pPr>
            <w:r>
              <w:rPr>
                <w:noProof/>
              </w:rPr>
              <w:t>Брутна продукция по специализация на стопанствата</w:t>
            </w:r>
          </w:p>
          <w:p w:rsidR="0029470A" w:rsidRDefault="0029470A" w:rsidP="003F7CE1">
            <w:pPr>
              <w:spacing w:before="40" w:after="40"/>
            </w:pPr>
            <w:r>
              <w:rPr>
                <w:noProof/>
              </w:rPr>
              <w:drawing>
                <wp:inline distT="0" distB="0" distL="0" distR="0" wp14:anchorId="680FB865" wp14:editId="3E21F7BF">
                  <wp:extent cx="5762625" cy="3048000"/>
                  <wp:effectExtent l="0" t="0" r="0" b="0"/>
                  <wp:docPr id="100115" name="Picture 100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
                          <pic:cNvPicPr>
                            <a:picLocks noChangeAspect="1"/>
                          </pic:cNvPicPr>
                        </pic:nvPicPr>
                        <pic:blipFill>
                          <a:blip r:embed="rId6"/>
                          <a:stretch>
                            <a:fillRect/>
                          </a:stretch>
                        </pic:blipFill>
                        <pic:spPr>
                          <a:xfrm>
                            <a:off x="0" y="0"/>
                            <a:ext cx="5762625" cy="3048000"/>
                          </a:xfrm>
                          <a:prstGeom prst="rect">
                            <a:avLst/>
                          </a:prstGeom>
                        </pic:spPr>
                      </pic:pic>
                    </a:graphicData>
                  </a:graphic>
                </wp:inline>
              </w:drawing>
            </w:r>
          </w:p>
          <w:p w:rsidR="0029470A" w:rsidRDefault="0029470A" w:rsidP="003F7CE1">
            <w:pPr>
              <w:spacing w:before="40" w:after="40"/>
            </w:pPr>
            <w:r>
              <w:rPr>
                <w:noProof/>
              </w:rPr>
              <w:t xml:space="preserve">Проблемите, свързани с увеличаващите се цени на торовете, продуктите за растителна защита, труда, горивата и всички енергоизточници, пазарната реализация и конкурентния натиск от страни извън ЕС, проблемите с обезпечаването на необходимата работна ръка, високите инвестиционни </w:t>
            </w:r>
            <w:r>
              <w:rPr>
                <w:noProof/>
              </w:rPr>
              <w:lastRenderedPageBreak/>
              <w:t>разходи за създаване на оранжериите и тяхната модернизация правят оранжерийното производство един от най-уязвимите сектори в българското земеделие.</w:t>
            </w:r>
          </w:p>
          <w:p w:rsidR="0029470A" w:rsidRDefault="0029470A" w:rsidP="003F7CE1">
            <w:pPr>
              <w:spacing w:before="40" w:after="40"/>
            </w:pPr>
          </w:p>
          <w:p w:rsidR="0029470A" w:rsidRDefault="0029470A" w:rsidP="003F7CE1">
            <w:pPr>
              <w:spacing w:before="40" w:after="40"/>
            </w:pPr>
            <w:r>
              <w:rPr>
                <w:noProof/>
              </w:rPr>
              <w:t>Допълнителна информация е достъпна в приложение към Стратегическия план на България - Обосновка относно рентабилността и необходимостта от подкрепа за интервенциите за обвързано с производството подпомагане на доходите.</w:t>
            </w:r>
          </w:p>
        </w:tc>
      </w:tr>
    </w:tbl>
    <w:p w:rsidR="0029470A" w:rsidRDefault="0029470A" w:rsidP="0029470A">
      <w:pPr>
        <w:spacing w:before="20" w:after="20"/>
        <w:rPr>
          <w:color w:val="000000"/>
        </w:rPr>
      </w:pPr>
      <w:r>
        <w:rPr>
          <w:noProof/>
          <w:color w:val="000000"/>
        </w:rPr>
        <w:lastRenderedPageBreak/>
        <w:t>Каква е целта на интервенцията по отношение на целевите сектори/производства или на видовете селскостопански практики, развивани в тях?</w:t>
      </w:r>
    </w:p>
    <w:p w:rsidR="0029470A" w:rsidRDefault="0029470A" w:rsidP="0029470A">
      <w:pPr>
        <w:spacing w:before="20" w:after="20"/>
        <w:rPr>
          <w:color w:val="000000"/>
        </w:rPr>
      </w:pPr>
      <w:r>
        <w:rPr>
          <w:rFonts w:ascii="Wingdings" w:eastAsia="Wingdings" w:hAnsi="Wingdings" w:cs="Wingdings"/>
          <w:noProof/>
          <w:color w:val="000000"/>
        </w:rPr>
        <w:t></w:t>
      </w:r>
      <w:r>
        <w:rPr>
          <w:noProof/>
          <w:color w:val="000000"/>
        </w:rPr>
        <w:t xml:space="preserve"> за подобряване на конкурентоспособността</w:t>
      </w:r>
    </w:p>
    <w:p w:rsidR="0029470A" w:rsidRDefault="0029470A" w:rsidP="0029470A">
      <w:pPr>
        <w:spacing w:before="20" w:after="20"/>
        <w:rPr>
          <w:color w:val="000000"/>
        </w:rPr>
      </w:pPr>
      <w:r>
        <w:rPr>
          <w:rFonts w:ascii="Wingdings" w:eastAsia="Wingdings" w:hAnsi="Wingdings" w:cs="Wingdings"/>
          <w:noProof/>
          <w:color w:val="000000"/>
        </w:rPr>
        <w:t></w:t>
      </w:r>
      <w:r>
        <w:rPr>
          <w:noProof/>
          <w:color w:val="000000"/>
        </w:rPr>
        <w:t xml:space="preserve"> за подобряване на качеството</w:t>
      </w:r>
    </w:p>
    <w:p w:rsidR="0029470A" w:rsidRDefault="0029470A" w:rsidP="0029470A">
      <w:pPr>
        <w:spacing w:before="20" w:after="20"/>
        <w:rPr>
          <w:color w:val="000000"/>
        </w:rPr>
      </w:pPr>
      <w:r>
        <w:rPr>
          <w:rFonts w:ascii="Wingdings" w:eastAsia="Wingdings" w:hAnsi="Wingdings" w:cs="Wingdings"/>
          <w:noProof/>
          <w:color w:val="000000"/>
        </w:rPr>
        <w:t></w:t>
      </w:r>
      <w:r>
        <w:rPr>
          <w:noProof/>
          <w:color w:val="000000"/>
        </w:rPr>
        <w:t xml:space="preserve"> за подобряване на устойчивостта </w:t>
      </w:r>
    </w:p>
    <w:p w:rsidR="0029470A" w:rsidRDefault="0029470A" w:rsidP="0029470A">
      <w:pPr>
        <w:spacing w:before="20" w:after="20"/>
        <w:rPr>
          <w:color w:val="000000"/>
        </w:rPr>
      </w:pPr>
    </w:p>
    <w:p w:rsidR="0029470A" w:rsidRDefault="0029470A" w:rsidP="0029470A">
      <w:pPr>
        <w:spacing w:before="20" w:after="20"/>
        <w:rPr>
          <w:color w:val="000000"/>
        </w:rPr>
      </w:pPr>
      <w:r>
        <w:rPr>
          <w:noProof/>
          <w:color w:val="000000"/>
        </w:rPr>
        <w:t>Как интервенцията ще допринесе за справяне с установените трудности във връзка с тази цел (напр. обяснение относно насочеността на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29470A"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9470A" w:rsidRDefault="0029470A" w:rsidP="003F7CE1">
            <w:pPr>
              <w:spacing w:before="40" w:after="40"/>
            </w:pPr>
            <w:r>
              <w:rPr>
                <w:noProof/>
              </w:rPr>
              <w:t>Чрез подпомагането на доходите на стопанства, осъществяващи дейността си в производство на зеленчуци и плодове оранжерийно производство от културите домати, краставици, пипер, ягоди и малини се цели да се повиши тяхната конкурентоспособност, икономическата им жизнеспособност, нивото на специализацията им и тяхната пазарна ориентация. Чрез този вид целенасочена подкрепа ще се създадат благоприятни условия за развитие на дейността на стопанствата, увеличавайки икономическия им потенциал и подобрявайки ликвидността и устойчивостта им.Подкрепата по интервенцията би могла да позволи на земеделските стопани известни възможности да инвестират в технологии и иновативни решения, позволяващи им производство на продукция при по-съвременни условия и при по-добри ценови характеристики, много важно условие за подобряване на конкурентоспособността им. Чрез изискването бенефициентите да предоставят документи за закупени сертифицирани и/или стандартни семена и/или посадъчен материал, съобразно размера на площите, с които кандидатстват за подпомагане, и разходната норма за единица площ се цели продукцията да е с по-високо качество, по-добра устойчивост и по-високи добиви, което би довело и до по-силни конкурентни предимства пред зеленчуците от трети страни, с които основно се конкурират родните ни продукти. По-ниският изискуем добив за площите, заети с допустимите култури, които се отглеждат по биологичен начин, не само отчита по-ниските добиви на биологичното производство в сравнение с конвенционалното, но и би стимулирало някаква част от земеделските стопани да преминат към такъв метод на производство, което от своя страна би позиционирало тяхната продукция в съвсем друг ценови клас.</w:t>
            </w:r>
          </w:p>
        </w:tc>
      </w:tr>
    </w:tbl>
    <w:p w:rsidR="0029470A" w:rsidRDefault="0029470A" w:rsidP="0029470A">
      <w:pPr>
        <w:spacing w:before="20" w:after="20"/>
        <w:rPr>
          <w:color w:val="000000"/>
        </w:rPr>
      </w:pPr>
      <w:r>
        <w:rPr>
          <w:noProof/>
          <w:color w:val="000000"/>
        </w:rPr>
        <w:t>Кои са засегнатите сектори?</w:t>
      </w:r>
    </w:p>
    <w:p w:rsidR="0029470A" w:rsidRDefault="0029470A" w:rsidP="0029470A">
      <w:pPr>
        <w:spacing w:before="20" w:after="20"/>
        <w:rPr>
          <w:color w:val="000000"/>
        </w:rPr>
      </w:pPr>
      <w:r>
        <w:rPr>
          <w:noProof/>
          <w:color w:val="000000"/>
        </w:rPr>
        <w:t>Плодове и зеленчуци</w:t>
      </w:r>
    </w:p>
    <w:p w:rsidR="0029470A" w:rsidRDefault="0029470A" w:rsidP="0029470A">
      <w:pPr>
        <w:spacing w:before="20" w:after="20"/>
        <w:rPr>
          <w:color w:val="000000"/>
        </w:rPr>
      </w:pPr>
      <w:r>
        <w:rPr>
          <w:noProof/>
          <w:color w:val="000000"/>
        </w:rPr>
        <w:t>Обосновка на значението на целевите сектори/производства или на видовете селскостопански практики, развивани в тях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29470A"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9470A" w:rsidRDefault="0029470A" w:rsidP="003F7CE1">
            <w:pPr>
              <w:spacing w:before="40" w:after="40"/>
            </w:pPr>
            <w:r>
              <w:rPr>
                <w:noProof/>
              </w:rPr>
              <w:t>Българското оранжерийно производство има важно значение за земеделието в страната, като традиционен подотрасъл, осигуряващ снабдяването със зеленчуци и плодове на населението (плодовете и зеленчуците са неизменна част от диетата на хората). Продукцията от плодове и зеленчуци от оранжерии се използва освен за прясна консумация, и за суровина в хранително вкусовата промишленост. Производството на оранжерийна продукция е традиционно за България, осигурявало продукция с конкурентно качество и високо ценен вкус.</w:t>
            </w:r>
          </w:p>
          <w:p w:rsidR="0029470A" w:rsidRDefault="0029470A" w:rsidP="003F7CE1">
            <w:pPr>
              <w:spacing w:before="40" w:after="40"/>
            </w:pPr>
            <w:r>
              <w:rPr>
                <w:noProof/>
              </w:rPr>
              <w:t>Спецификата на метода на производство на плодовете и зеленчуците в оранжерии осигурява трудова заетост в селските райони с изключително ниска такава и по този начин се допринася за съживяването на селските райони. От социална гледна точка оранжериите в страната обезпечават 15 000 работни места, като за един тон продукция вложеният труд е най-висок процент в сравнение с други сектори в земеделието. Оранжерийното производство обезпечава и най-висока целогодишна заетост.</w:t>
            </w:r>
          </w:p>
          <w:p w:rsidR="0029470A" w:rsidRDefault="0029470A" w:rsidP="003F7CE1">
            <w:pPr>
              <w:spacing w:before="40" w:after="40"/>
            </w:pPr>
            <w:r>
              <w:rPr>
                <w:noProof/>
              </w:rPr>
              <w:lastRenderedPageBreak/>
              <w:t>Макар малкия размер на площите оранжерийно производство, за 2020 г. производството на домати е 40% от общото производство за страната, а оранжерийното производството на краставици е малко над 83% от общото.</w:t>
            </w:r>
          </w:p>
        </w:tc>
      </w:tr>
    </w:tbl>
    <w:p w:rsidR="0029470A" w:rsidRDefault="0029470A" w:rsidP="0029470A">
      <w:pPr>
        <w:spacing w:before="20" w:after="20"/>
        <w:rPr>
          <w:color w:val="000000"/>
        </w:rPr>
      </w:pPr>
      <w:r>
        <w:rPr>
          <w:noProof/>
          <w:color w:val="000000"/>
        </w:rPr>
        <w:lastRenderedPageBreak/>
        <w:t>Обяснете как интервенцията е в съответствие с Рамковата директива за водите (Директива 2000/60/ЕО).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29470A"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9470A" w:rsidRDefault="0029470A" w:rsidP="003F7CE1">
            <w:pPr>
              <w:spacing w:before="40" w:after="40"/>
              <w:jc w:val="both"/>
            </w:pPr>
            <w:r>
              <w:rPr>
                <w:noProof/>
                <w:color w:val="333333"/>
                <w:shd w:val="clear" w:color="auto" w:fill="FFFFFF"/>
              </w:rPr>
              <w:t>Съгласно</w:t>
            </w:r>
            <w:r>
              <w:rPr>
                <w:noProof/>
                <w:color w:val="000000"/>
                <w:shd w:val="clear" w:color="auto" w:fill="FFFFFF"/>
              </w:rPr>
              <w:t xml:space="preserve"> доклади, представящи данни, които определят значимите проблеми при управлението на водите, отговори и предложения и мерки как да се достигнат екологичните цели за постигане и поддържане на добро състояние на водите, като част от междинен преглед на проблемите при управлението на водите, етап от актуализацията на Плановете за управление на речните басейни – 2022-2027 г., </w:t>
            </w:r>
            <w:r>
              <w:rPr>
                <w:noProof/>
                <w:color w:val="333333"/>
                <w:shd w:val="clear" w:color="auto" w:fill="FFFFFF"/>
              </w:rPr>
              <w:t xml:space="preserve">тенденциите и в четирите района, обект на изследване, са положителни за периода 2016-2020, от което следва да се направи индиректна връзка, че схемите за обвързана подкрепа, голяма част от които се прилагат от 2015 г. (схемите за плодове и зеленчуци) не са допринесли за влошаване на състоянието на речните басейни, дори напротив – въпреки тяхното прилагане се отчитат позитивни промени и в посока намаление на замърсяването, и в нивата на експлоатационен индекс. </w:t>
            </w:r>
            <w:r>
              <w:rPr>
                <w:noProof/>
                <w:color w:val="000000"/>
                <w:shd w:val="clear" w:color="auto" w:fill="FFFFFF"/>
              </w:rPr>
              <w:t xml:space="preserve">Докладите са разделени по райони – Дунавски, Черноморски, Източнобеломорски и Западнобеломорски, публикувани са на електронната страница на Министерство на околната среда и водите, в период на обществено съгласуване са били от 15.10 2021 г. до 18.04.2022 г. Резюметата на 4-те доклада са достъпни както на български, така и на английски език на следния електронен адрес: </w:t>
            </w:r>
            <w:hyperlink r:id="rId7" w:tgtFrame="_blank" w:history="1">
              <w:r>
                <w:rPr>
                  <w:noProof/>
                  <w:color w:val="0000EE"/>
                  <w:u w:val="single" w:color="0000EE"/>
                </w:rPr>
                <w:t>https://www.moew.government.bg/bg/vodi/planove-za-upravlenie/planove-za-upravlenie-na-rechnite-basejni-purb/planove-za-upravlenie-na-rechnite-basejni-2022-2027-g/</w:t>
              </w:r>
            </w:hyperlink>
            <w:r>
              <w:rPr>
                <w:noProof/>
                <w:color w:val="000000"/>
                <w:shd w:val="clear" w:color="auto" w:fill="FFFFFF"/>
              </w:rPr>
              <w:t xml:space="preserve"> </w:t>
            </w:r>
          </w:p>
          <w:p w:rsidR="0029470A" w:rsidRDefault="0029470A" w:rsidP="003F7CE1">
            <w:pPr>
              <w:spacing w:before="40" w:after="40"/>
              <w:jc w:val="both"/>
            </w:pPr>
            <w:r>
              <w:rPr>
                <w:noProof/>
                <w:color w:val="333333"/>
                <w:shd w:val="clear" w:color="auto" w:fill="FFFFFF"/>
              </w:rPr>
              <w:t>Издаването на разрешителни за водовземане и за ползване на воден обект в България е процедура, уредена в Закона за водите, в който са транспонирани и разпоредбите на Рамковата директива за водите. Разрешителни се издават от министъра на околната среда и водите или оправомощено от него длъжностно лице. Всяко разрешителното се издава въз основа на официални и актуални данни от метеорологични, хидроложки, хидрогеоложки, хидрохимични и други инженерни проучвания. При издаване на разрешително компетентните органи отчитат наличните водни ресурси; потребностите на кандидата за водоползвател, съответно ползвател на воден обект; състоянието на водното тяло, целите за опазване на околната среда, определени за съответното водно тяло, и мерките за постигане на тези цели, определени в плановете за управление на речните басейни. Целите за опазване на околната среда по отношение на количеството и качеството на водите се определят при повърхностните води за: предотвратяване влошаването на състоянието на всички повърхностни водни тела; опазване, подобряване и възстановяване на всички повърхностни водни тела за постигане добро състояние на водите; опазване и подобряване качеството на водите във всички изкуствени и силно модифицирани водни тела и постигане на добър екологичен потенциал и добро химично състояние на повърхностните води; предотвратяване, прогресивно намаляване и прекратяване наведнъж или на етапи на замърсяването от емисии, зауствания и изпускания на приоритетни и приоритетно опасни вещества. При подземните води целите са за недопускане или ограничаване отвеждането на замърсители в подземните води и предотвратяване влошаването на състоянието на всички подземни водни тела; опазване, подобряване и възстановяване на всички подземни водни тела, осигуряване на баланс между водовземането и подхранването на подземните води и постигане доброто им състояние; идентифициране и насочване в обратна посока на всяка значима и устойчива тенденция за повишаване на концентрацията на всеки замърсител с цел непрекъснато намаляване замърсяването на подземните води.</w:t>
            </w:r>
          </w:p>
          <w:p w:rsidR="0029470A" w:rsidRDefault="0029470A" w:rsidP="003F7CE1">
            <w:pPr>
              <w:spacing w:before="40" w:after="40"/>
              <w:jc w:val="both"/>
            </w:pPr>
            <w:r>
              <w:rPr>
                <w:noProof/>
                <w:color w:val="333333"/>
                <w:shd w:val="clear" w:color="auto" w:fill="FFFFFF"/>
              </w:rPr>
              <w:t>Разрешителните подлежат на преразглеждане по отношение на съответствието с целите за опазване на околната сред, когато данните от мониторинга или друга информация и оценки показват, че целите за опазване на околната среда, установени за водно тяло, не се постигат или съществува риск от влошаване на състоянието на водно тяло или потенциала на изкуствено или силно модифицирано водно тяло, както и когато са констатирани несъответствия между хидроморфологичните условия и екологичното състояние на водно тяло или добрия екологичен потенциал на изкуствено или силно модифицирано водно тяло.</w:t>
            </w:r>
          </w:p>
          <w:p w:rsidR="0029470A" w:rsidRDefault="0029470A" w:rsidP="003F7CE1">
            <w:pPr>
              <w:spacing w:before="40" w:after="40"/>
              <w:jc w:val="both"/>
            </w:pPr>
            <w:r>
              <w:rPr>
                <w:noProof/>
                <w:color w:val="333333"/>
                <w:shd w:val="clear" w:color="auto" w:fill="FFFFFF"/>
              </w:rPr>
              <w:t xml:space="preserve">Разрешителните се преразглеждат при всяка актуализация на характеризирането на района за басейново управление на водите. Когато упражняването на правата по разрешително представлява натиск върху състоянието на водите, допринасящ за влошаване на състоянието или непостигане на целите за опазване на околната среда, директорът на басейнова дирекция планира изменение на </w:t>
            </w:r>
            <w:r>
              <w:rPr>
                <w:noProof/>
                <w:color w:val="333333"/>
                <w:shd w:val="clear" w:color="auto" w:fill="FFFFFF"/>
              </w:rPr>
              <w:lastRenderedPageBreak/>
              <w:t>разрешителното, а когато с изменение не могат да бъдат постигнати целите или изпълнени условията - неговото прекратяване. Изменението или прекратяването на разрешителното се включва в програмите от мерки в съответния план за управление на речните басейни.</w:t>
            </w:r>
          </w:p>
          <w:p w:rsidR="0029470A" w:rsidRDefault="0029470A" w:rsidP="003F7CE1">
            <w:pPr>
              <w:spacing w:before="40" w:after="40"/>
              <w:jc w:val="both"/>
            </w:pPr>
            <w:r>
              <w:rPr>
                <w:noProof/>
                <w:color w:val="333333"/>
                <w:shd w:val="clear" w:color="auto" w:fill="FFFFFF"/>
              </w:rPr>
              <w:t>Начинът на използването на водите на комплексните и значимите язовири в страната се определя в годишен и месечни режимни графици, които се утвърждават от министъра на околната среда и водите и са неразделна част от разрешителното за водовземане. С годишния график се определя стратегията за използване на водите на язовирите през съответната година. Месечният график се изготвя, като се вземат предвид актуалната информация за състоянието на язовира през предходния месец, определената с годишния график стратегия, прогнозата за очаквания приток, хидрометеорологичната обстановка и преценката на исканията в месечната заявка от титулярите на разрешителни за водовземане.</w:t>
            </w:r>
          </w:p>
          <w:p w:rsidR="0029470A" w:rsidRDefault="0029470A" w:rsidP="003F7CE1">
            <w:pPr>
              <w:spacing w:before="40" w:after="40"/>
              <w:jc w:val="both"/>
            </w:pPr>
            <w:r>
              <w:rPr>
                <w:noProof/>
                <w:color w:val="333333"/>
                <w:shd w:val="clear" w:color="auto" w:fill="FFFFFF"/>
              </w:rPr>
              <w:t xml:space="preserve">Производството на плодове и зеленчуци в страната, както и животновъдството се осъществяват при спазване на всички разпоредби, произтичащи от европейското и национално законодателство в областта. Отчитайки това, заедно с положителните промени и тенденции, част от докладите, към които реферираме, не на последно място прилагайки и системата от предварителните условия, съгласно която бенефициентите на директни плащания подлежат на санкции, ако не отговарят на ЗИУ и стандартите за ДЗЕС, смятаме, че сме предприели необходимото интервенциите за обвързано с производството подпомагане да не оказват и те видимо от докладите не оказват негативно влияние върху състоянието на речните басейни в страната. </w:t>
            </w:r>
            <w:proofErr w:type="gramStart"/>
            <w:r>
              <w:rPr>
                <w:noProof/>
                <w:color w:val="333333"/>
                <w:shd w:val="clear" w:color="auto" w:fill="FFFFFF"/>
              </w:rPr>
              <w:t>Спазването на националното и европейско законодателство при производството на плодове, зеленчуци и животинска продукция, стриктната процедура за издаване на разрешителни за водоползване, проследяването на състоянието на водите в страната, както и резултатите от докладите за управлението на речните басейни в страната, потвърждават, че интервенциите за обвързано с производството подпомагане, бидейки в голямата си част сходни с прилаганите до момента, няма да са в разрез с постигането на добро управление на водите и в бъдещия период и страната ни е взела всички необходими мерки за това.</w:t>
            </w:r>
            <w:proofErr w:type="gramEnd"/>
          </w:p>
        </w:tc>
      </w:tr>
    </w:tbl>
    <w:p w:rsidR="0029470A" w:rsidRDefault="0029470A" w:rsidP="0029470A">
      <w:pPr>
        <w:spacing w:before="20" w:after="20"/>
        <w:rPr>
          <w:color w:val="000000"/>
        </w:rPr>
      </w:pPr>
      <w:r>
        <w:rPr>
          <w:noProof/>
          <w:color w:val="000000"/>
        </w:rPr>
        <w:lastRenderedPageBreak/>
        <w:t>Интервенцията финансирана ли е частично или изцяло от допълнителното плащане за протеинови култури (максимум 2 %) в съответствие с член 96, параграф 3 от РСП?</w:t>
      </w:r>
    </w:p>
    <w:p w:rsidR="0029470A" w:rsidRDefault="0029470A" w:rsidP="0029470A">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p>
    <w:p w:rsidR="0029470A" w:rsidRDefault="0029470A" w:rsidP="0029470A">
      <w:pPr>
        <w:spacing w:before="20" w:after="20"/>
        <w:rPr>
          <w:color w:val="000000"/>
        </w:rPr>
      </w:pPr>
      <w:r>
        <w:rPr>
          <w:noProof/>
          <w:color w:val="000000"/>
        </w:rPr>
        <w:t>Ако интервенцията е насочена към смесица от бобови култури и треви: моля, посочете минималния процент бобови растения в смесицата.</w:t>
      </w:r>
    </w:p>
    <w:p w:rsidR="0029470A" w:rsidRDefault="0029470A" w:rsidP="0029470A">
      <w:pPr>
        <w:spacing w:before="20" w:after="20"/>
        <w:rPr>
          <w:color w:val="000000"/>
        </w:rPr>
      </w:pPr>
      <w:r>
        <w:rPr>
          <w:noProof/>
          <w:color w:val="000000"/>
        </w:rPr>
        <w:t>Неприложимо</w:t>
      </w:r>
    </w:p>
    <w:p w:rsidR="0029470A" w:rsidRDefault="0029470A" w:rsidP="0029470A">
      <w:pPr>
        <w:spacing w:before="20" w:after="20"/>
        <w:rPr>
          <w:color w:val="000000"/>
        </w:rPr>
      </w:pPr>
      <w:r>
        <w:rPr>
          <w:noProof/>
          <w:color w:val="000000"/>
        </w:rPr>
        <w:t>Обвързаното с производството подпомагане на доходите, предоставяно на копринените буби, е подпомагане, основано на животни, като за използването на „животно“ като основна единица на подпомагането се изисква предварително изясняване на следното: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29470A"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9470A" w:rsidRDefault="0029470A" w:rsidP="003F7CE1">
            <w:pPr>
              <w:spacing w:before="20" w:after="20"/>
              <w:rPr>
                <w:color w:val="000000"/>
              </w:rPr>
            </w:pPr>
          </w:p>
        </w:tc>
      </w:tr>
    </w:tbl>
    <w:p w:rsidR="0029470A" w:rsidRDefault="0029470A" w:rsidP="0029470A">
      <w:pPr>
        <w:spacing w:before="20" w:after="20"/>
        <w:rPr>
          <w:color w:val="000000"/>
        </w:rPr>
      </w:pPr>
      <w:r>
        <w:rPr>
          <w:noProof/>
          <w:color w:val="000000"/>
        </w:rPr>
        <w:t>моля, пояснете коефициента на преобразуване между тази единица и „животно“ (т.е. колко от тази единица съответства на „1 животно“?), например за целите на показателите.</w:t>
      </w:r>
    </w:p>
    <w:p w:rsidR="0029470A" w:rsidRDefault="0029470A" w:rsidP="0029470A">
      <w:pPr>
        <w:spacing w:before="20" w:after="20"/>
        <w:rPr>
          <w:color w:val="000000"/>
        </w:rPr>
      </w:pPr>
      <w:r>
        <w:rPr>
          <w:noProof/>
          <w:color w:val="000000"/>
        </w:rPr>
        <w:t>Неприложимо</w:t>
      </w:r>
    </w:p>
    <w:p w:rsidR="0029470A" w:rsidRDefault="0029470A" w:rsidP="0029470A">
      <w:pPr>
        <w:spacing w:before="20" w:after="20"/>
        <w:rPr>
          <w:color w:val="000000"/>
        </w:rPr>
      </w:pPr>
      <w:r>
        <w:rPr>
          <w:noProof/>
          <w:color w:val="000000"/>
        </w:rPr>
        <w:t>Възможно е в коментар да се дадат допълнителни пояснения (например теглото на яйцата в една опаковка)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29470A"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9470A" w:rsidRDefault="0029470A" w:rsidP="003F7CE1">
            <w:pPr>
              <w:spacing w:before="20" w:after="20"/>
              <w:rPr>
                <w:color w:val="000000"/>
              </w:rPr>
            </w:pPr>
          </w:p>
        </w:tc>
      </w:tr>
    </w:tbl>
    <w:p w:rsidR="0029470A" w:rsidRDefault="0029470A" w:rsidP="0029470A">
      <w:pPr>
        <w:spacing w:before="20" w:after="20"/>
        <w:rPr>
          <w:color w:val="000000"/>
        </w:rPr>
      </w:pPr>
    </w:p>
    <w:p w:rsidR="0029470A" w:rsidRDefault="0029470A" w:rsidP="0029470A">
      <w:pPr>
        <w:pStyle w:val="Heading5"/>
        <w:spacing w:before="20" w:after="20"/>
        <w:rPr>
          <w:b w:val="0"/>
          <w:i w:val="0"/>
          <w:color w:val="000000"/>
          <w:sz w:val="24"/>
        </w:rPr>
      </w:pPr>
      <w:bookmarkStart w:id="9" w:name="_Toc256000827"/>
      <w:r>
        <w:rPr>
          <w:b w:val="0"/>
          <w:i w:val="0"/>
          <w:noProof/>
          <w:color w:val="000000"/>
          <w:sz w:val="24"/>
        </w:rPr>
        <w:t>9 Съответствие с правилата на СТО</w:t>
      </w:r>
      <w:bookmarkEnd w:id="9"/>
    </w:p>
    <w:p w:rsidR="0029470A" w:rsidRDefault="0029470A" w:rsidP="0029470A">
      <w:pPr>
        <w:spacing w:before="20" w:after="20"/>
        <w:rPr>
          <w:color w:val="000000"/>
        </w:rPr>
      </w:pPr>
      <w:r>
        <w:rPr>
          <w:noProof/>
          <w:color w:val="000000"/>
        </w:rPr>
        <w:t>Кехлибарена кутия</w:t>
      </w:r>
    </w:p>
    <w:p w:rsidR="0029470A" w:rsidRDefault="0029470A" w:rsidP="0029470A">
      <w:pPr>
        <w:spacing w:before="20" w:after="20"/>
        <w:rPr>
          <w:color w:val="000000"/>
        </w:rPr>
      </w:pPr>
      <w:r>
        <w:rPr>
          <w:noProof/>
          <w:color w:val="000000"/>
        </w:rPr>
        <w:t>Разяснение дали и, ако да, как интервенцията спазва съответните разпоредби на член 6.5 или приложение 2 към Споразумението за СТО за селското стопанство (синя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29470A"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9470A" w:rsidRDefault="0029470A" w:rsidP="003F7CE1">
            <w:pPr>
              <w:spacing w:before="40" w:after="40"/>
            </w:pPr>
            <w:r>
              <w:rPr>
                <w:noProof/>
              </w:rPr>
              <w:t>Неприложимо.</w:t>
            </w:r>
          </w:p>
        </w:tc>
      </w:tr>
    </w:tbl>
    <w:p w:rsidR="0029470A" w:rsidRDefault="0029470A" w:rsidP="0029470A">
      <w:pPr>
        <w:spacing w:before="20" w:after="20"/>
        <w:rPr>
          <w:color w:val="000000"/>
        </w:rPr>
        <w:sectPr w:rsidR="0029470A">
          <w:pgSz w:w="11906" w:h="16838"/>
          <w:pgMar w:top="720" w:right="720" w:bottom="864" w:left="936" w:header="288" w:footer="72" w:gutter="0"/>
          <w:cols w:space="720"/>
          <w:noEndnote/>
          <w:docGrid w:linePitch="360"/>
        </w:sectPr>
      </w:pPr>
    </w:p>
    <w:p w:rsidR="0029470A" w:rsidRDefault="0029470A" w:rsidP="0029470A">
      <w:pPr>
        <w:pStyle w:val="Heading5"/>
        <w:spacing w:before="20" w:after="20"/>
        <w:rPr>
          <w:b w:val="0"/>
          <w:i w:val="0"/>
          <w:color w:val="000000"/>
          <w:sz w:val="24"/>
        </w:rPr>
      </w:pPr>
      <w:bookmarkStart w:id="10" w:name="_Toc256000828"/>
      <w:r>
        <w:rPr>
          <w:b w:val="0"/>
          <w:i w:val="0"/>
          <w:noProof/>
          <w:color w:val="000000"/>
          <w:sz w:val="24"/>
        </w:rPr>
        <w:lastRenderedPageBreak/>
        <w:t>11 Планирани единични суми — определение</w:t>
      </w:r>
      <w:bookmarkEnd w:id="10"/>
    </w:p>
    <w:p w:rsidR="0029470A" w:rsidRDefault="0029470A" w:rsidP="0029470A">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6"/>
        <w:gridCol w:w="4327"/>
        <w:gridCol w:w="1216"/>
        <w:gridCol w:w="3447"/>
      </w:tblGrid>
      <w:tr w:rsidR="0029470A" w:rsidTr="003F7CE1">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rPr>
                <w:b/>
                <w:color w:val="000000"/>
                <w:sz w:val="20"/>
              </w:rPr>
            </w:pPr>
            <w:r>
              <w:rPr>
                <w:b/>
                <w:noProof/>
                <w:color w:val="000000"/>
                <w:sz w:val="20"/>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rPr>
                <w:b/>
                <w:color w:val="000000"/>
                <w:sz w:val="20"/>
              </w:rPr>
            </w:pPr>
            <w:r>
              <w:rPr>
                <w:b/>
                <w:noProof/>
                <w:color w:val="000000"/>
                <w:sz w:val="20"/>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rPr>
                <w:color w:val="000000"/>
                <w:sz w:val="20"/>
              </w:rPr>
            </w:pPr>
            <w:r>
              <w:rPr>
                <w:b/>
                <w:noProof/>
                <w:color w:val="000000"/>
                <w:sz w:val="20"/>
              </w:rPr>
              <w:t>Показател(и) за резултатите</w:t>
            </w:r>
          </w:p>
        </w:tc>
      </w:tr>
      <w:tr w:rsidR="0029470A" w:rsidTr="003F7CE1">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I.Б.17-1 - Ставка без модулация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R.4; R.6; R.7; R.8</w:t>
            </w:r>
          </w:p>
        </w:tc>
      </w:tr>
      <w:tr w:rsidR="0029470A" w:rsidTr="003F7CE1">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I.Б.17-2  - Неотопляеми оранжерии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R.4; R.6; R.7; R.8</w:t>
            </w:r>
          </w:p>
        </w:tc>
      </w:tr>
      <w:tr w:rsidR="0029470A" w:rsidTr="003F7CE1">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I.Б.17-3 - Отопляеми оранжерии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R.4; R.6; R.7; R.8</w:t>
            </w:r>
          </w:p>
        </w:tc>
      </w:tr>
    </w:tbl>
    <w:p w:rsidR="0029470A" w:rsidRDefault="0029470A" w:rsidP="0029470A">
      <w:pPr>
        <w:spacing w:before="20" w:after="20"/>
        <w:rPr>
          <w:color w:val="000000"/>
        </w:rPr>
      </w:pPr>
      <w:r>
        <w:rPr>
          <w:noProof/>
          <w:color w:val="000000"/>
        </w:rPr>
        <w:t>Разяснение и обосновка (включително гъвкавост)</w:t>
      </w:r>
    </w:p>
    <w:p w:rsidR="0029470A" w:rsidRDefault="0029470A" w:rsidP="0029470A">
      <w:pPr>
        <w:spacing w:before="20" w:after="20"/>
        <w:rPr>
          <w:color w:val="000000"/>
        </w:rPr>
      </w:pPr>
      <w:r>
        <w:rPr>
          <w:noProof/>
          <w:color w:val="000000"/>
        </w:rPr>
        <w:t>I.Б.17-1 - Ставка без модулация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96"/>
      </w:tblGrid>
      <w:tr w:rsidR="0029470A"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9470A" w:rsidRDefault="0029470A" w:rsidP="003F7CE1">
            <w:pPr>
              <w:spacing w:before="40" w:after="40"/>
            </w:pPr>
            <w:r>
              <w:rPr>
                <w:noProof/>
              </w:rPr>
              <w:t>За кампани</w:t>
            </w:r>
            <w:r w:rsidR="009135BB" w:rsidRPr="009135BB">
              <w:rPr>
                <w:noProof/>
                <w:color w:val="FF0000"/>
                <w:lang w:val="bg-BG"/>
              </w:rPr>
              <w:t>и</w:t>
            </w:r>
            <w:r w:rsidRPr="009135BB">
              <w:rPr>
                <w:strike/>
                <w:noProof/>
              </w:rPr>
              <w:t>я</w:t>
            </w:r>
            <w:r>
              <w:rPr>
                <w:noProof/>
              </w:rPr>
              <w:t xml:space="preserve"> 2023, </w:t>
            </w:r>
            <w:r w:rsidRPr="009135BB">
              <w:rPr>
                <w:strike/>
                <w:noProof/>
              </w:rPr>
              <w:t>кампания</w:t>
            </w:r>
            <w:r>
              <w:rPr>
                <w:noProof/>
              </w:rPr>
              <w:t xml:space="preserve"> 2024</w:t>
            </w:r>
            <w:r w:rsidR="009135BB">
              <w:rPr>
                <w:noProof/>
              </w:rPr>
              <w:t>,</w:t>
            </w:r>
            <w:r>
              <w:rPr>
                <w:noProof/>
              </w:rPr>
              <w:t xml:space="preserve"> </w:t>
            </w:r>
            <w:r w:rsidRPr="009135BB">
              <w:rPr>
                <w:strike/>
                <w:noProof/>
              </w:rPr>
              <w:t>и кампания</w:t>
            </w:r>
            <w:r>
              <w:rPr>
                <w:noProof/>
              </w:rPr>
              <w:t xml:space="preserve"> 2025</w:t>
            </w:r>
            <w:r w:rsidR="009135BB">
              <w:rPr>
                <w:noProof/>
                <w:lang w:val="bg-BG"/>
              </w:rPr>
              <w:t xml:space="preserve"> </w:t>
            </w:r>
            <w:r w:rsidR="009135BB" w:rsidRPr="009135BB">
              <w:rPr>
                <w:noProof/>
                <w:color w:val="FF0000"/>
                <w:lang w:val="bg-BG"/>
              </w:rPr>
              <w:t>и 2026</w:t>
            </w:r>
            <w:r w:rsidRPr="009135BB">
              <w:rPr>
                <w:noProof/>
                <w:color w:val="FF0000"/>
              </w:rPr>
              <w:t xml:space="preserve"> </w:t>
            </w:r>
            <w:r>
              <w:rPr>
                <w:noProof/>
              </w:rPr>
              <w:t>се прилага единно ниво на подкрепата.</w:t>
            </w:r>
          </w:p>
        </w:tc>
      </w:tr>
    </w:tbl>
    <w:p w:rsidR="0029470A" w:rsidRDefault="0029470A" w:rsidP="0029470A">
      <w:pPr>
        <w:spacing w:before="20" w:after="20"/>
        <w:rPr>
          <w:color w:val="000000"/>
        </w:rPr>
      </w:pPr>
      <w:r>
        <w:rPr>
          <w:noProof/>
          <w:color w:val="000000"/>
        </w:rPr>
        <w:t>I.Б.17-2  - Неотопляеми оранжерии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96"/>
      </w:tblGrid>
      <w:tr w:rsidR="0029470A"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9470A" w:rsidRDefault="0029470A" w:rsidP="003F7CE1">
            <w:pPr>
              <w:spacing w:before="40" w:after="40"/>
            </w:pPr>
            <w:r>
              <w:rPr>
                <w:noProof/>
              </w:rPr>
              <w:t>Неотопляемите оранжерии реализират продукция с по-ниски разходи за производство, тъй като нямат целогодишната трудова заетост, имат по-малко разходи за отопление, затова следва да се въведе разграничение в предоставяната по интервенцията подкрепа и неотопляемите оранжерии да получат подпомагане с по-ниско ниво на подкрепа.</w:t>
            </w:r>
          </w:p>
        </w:tc>
      </w:tr>
    </w:tbl>
    <w:p w:rsidR="0029470A" w:rsidRDefault="0029470A" w:rsidP="0029470A">
      <w:pPr>
        <w:spacing w:before="20" w:after="20"/>
        <w:rPr>
          <w:color w:val="000000"/>
        </w:rPr>
      </w:pPr>
      <w:r>
        <w:rPr>
          <w:noProof/>
          <w:color w:val="000000"/>
        </w:rPr>
        <w:t>I.Б.17-3 - Отопляеми оранжерии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96"/>
      </w:tblGrid>
      <w:tr w:rsidR="0029470A"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9470A" w:rsidRDefault="0029470A" w:rsidP="003F7CE1">
            <w:pPr>
              <w:spacing w:before="40" w:after="40"/>
            </w:pPr>
            <w:r>
              <w:rPr>
                <w:noProof/>
              </w:rPr>
              <w:t>Тъй като при оранжерийното производство в отопляеми оранжерии разходите са значително по-високи спрямо производството в неотопляеми оранжерии, то считаме, че е обосновано отопляемите оранжерии да бъдат подкрепени с по-високо ниво на подпомагането. Целогодишната трудова заетост, високите разходи за отопление на фона на постоянно покачващите се разходи за енергоизточници са основната причина отопляемите оранжерии да бъдат в по-неблагоприятна позиция, по-уязвими, срещащи по-големи трудности и с по-ниска рентабилност от неотопляемите, затова следва да се въведе разграничение в предоставяната по интервенцията подкрепа.</w:t>
            </w:r>
          </w:p>
        </w:tc>
      </w:tr>
    </w:tbl>
    <w:p w:rsidR="00BE69C3" w:rsidRDefault="00BE69C3" w:rsidP="0029470A">
      <w:pPr>
        <w:pStyle w:val="Heading5"/>
        <w:spacing w:before="20" w:after="20"/>
        <w:rPr>
          <w:b w:val="0"/>
          <w:i w:val="0"/>
          <w:noProof/>
          <w:color w:val="000000"/>
          <w:sz w:val="24"/>
        </w:rPr>
      </w:pPr>
      <w:bookmarkStart w:id="11" w:name="_Toc256000829"/>
    </w:p>
    <w:p w:rsidR="00BE69C3" w:rsidRDefault="00BE69C3" w:rsidP="0029470A">
      <w:pPr>
        <w:pStyle w:val="Heading5"/>
        <w:spacing w:before="20" w:after="20"/>
        <w:rPr>
          <w:b w:val="0"/>
          <w:i w:val="0"/>
          <w:noProof/>
          <w:color w:val="000000"/>
          <w:sz w:val="24"/>
        </w:rPr>
      </w:pPr>
    </w:p>
    <w:p w:rsidR="00BE69C3" w:rsidRDefault="00BE69C3" w:rsidP="0029470A">
      <w:pPr>
        <w:pStyle w:val="Heading5"/>
        <w:spacing w:before="20" w:after="20"/>
        <w:rPr>
          <w:b w:val="0"/>
          <w:i w:val="0"/>
          <w:noProof/>
          <w:color w:val="000000"/>
          <w:sz w:val="24"/>
        </w:rPr>
      </w:pPr>
    </w:p>
    <w:p w:rsidR="00BE69C3" w:rsidRDefault="00BE69C3" w:rsidP="0029470A">
      <w:pPr>
        <w:pStyle w:val="Heading5"/>
        <w:spacing w:before="20" w:after="20"/>
        <w:rPr>
          <w:b w:val="0"/>
          <w:i w:val="0"/>
          <w:noProof/>
          <w:color w:val="000000"/>
          <w:sz w:val="24"/>
        </w:rPr>
      </w:pPr>
    </w:p>
    <w:p w:rsidR="00BE69C3" w:rsidRDefault="00BE69C3" w:rsidP="0029470A">
      <w:pPr>
        <w:pStyle w:val="Heading5"/>
        <w:spacing w:before="20" w:after="20"/>
        <w:rPr>
          <w:b w:val="0"/>
          <w:i w:val="0"/>
          <w:noProof/>
          <w:color w:val="000000"/>
          <w:sz w:val="24"/>
        </w:rPr>
      </w:pPr>
    </w:p>
    <w:p w:rsidR="00BE69C3" w:rsidRDefault="00BE69C3" w:rsidP="0029470A">
      <w:pPr>
        <w:pStyle w:val="Heading5"/>
        <w:spacing w:before="20" w:after="20"/>
        <w:rPr>
          <w:b w:val="0"/>
          <w:i w:val="0"/>
          <w:noProof/>
          <w:color w:val="000000"/>
          <w:sz w:val="24"/>
        </w:rPr>
      </w:pPr>
    </w:p>
    <w:p w:rsidR="00BE69C3" w:rsidRDefault="00BE69C3" w:rsidP="0029470A">
      <w:pPr>
        <w:pStyle w:val="Heading5"/>
        <w:spacing w:before="20" w:after="20"/>
        <w:rPr>
          <w:b w:val="0"/>
          <w:i w:val="0"/>
          <w:noProof/>
          <w:color w:val="000000"/>
          <w:sz w:val="24"/>
        </w:rPr>
      </w:pPr>
    </w:p>
    <w:p w:rsidR="00BE69C3" w:rsidRDefault="00BE69C3" w:rsidP="0029470A">
      <w:pPr>
        <w:pStyle w:val="Heading5"/>
        <w:spacing w:before="20" w:after="20"/>
        <w:rPr>
          <w:b w:val="0"/>
          <w:i w:val="0"/>
          <w:noProof/>
          <w:color w:val="000000"/>
          <w:sz w:val="24"/>
        </w:rPr>
      </w:pPr>
    </w:p>
    <w:p w:rsidR="00BE69C3" w:rsidRDefault="00BE69C3" w:rsidP="0029470A">
      <w:pPr>
        <w:pStyle w:val="Heading5"/>
        <w:spacing w:before="20" w:after="20"/>
        <w:rPr>
          <w:b w:val="0"/>
          <w:i w:val="0"/>
          <w:noProof/>
          <w:color w:val="000000"/>
          <w:sz w:val="24"/>
        </w:rPr>
      </w:pPr>
    </w:p>
    <w:p w:rsidR="00BE69C3" w:rsidRDefault="00BE69C3" w:rsidP="0029470A">
      <w:pPr>
        <w:pStyle w:val="Heading5"/>
        <w:spacing w:before="20" w:after="20"/>
        <w:rPr>
          <w:b w:val="0"/>
          <w:i w:val="0"/>
          <w:noProof/>
          <w:color w:val="000000"/>
          <w:sz w:val="24"/>
        </w:rPr>
      </w:pPr>
    </w:p>
    <w:p w:rsidR="00BE69C3" w:rsidRDefault="00BE69C3" w:rsidP="0029470A">
      <w:pPr>
        <w:pStyle w:val="Heading5"/>
        <w:spacing w:before="20" w:after="20"/>
        <w:rPr>
          <w:b w:val="0"/>
          <w:i w:val="0"/>
          <w:noProof/>
          <w:color w:val="000000"/>
          <w:sz w:val="24"/>
        </w:rPr>
      </w:pPr>
    </w:p>
    <w:p w:rsidR="00BE69C3" w:rsidRDefault="00BE69C3" w:rsidP="0029470A">
      <w:pPr>
        <w:pStyle w:val="Heading5"/>
        <w:spacing w:before="20" w:after="20"/>
        <w:rPr>
          <w:b w:val="0"/>
          <w:i w:val="0"/>
          <w:noProof/>
          <w:color w:val="000000"/>
          <w:sz w:val="24"/>
        </w:rPr>
      </w:pPr>
    </w:p>
    <w:p w:rsidR="00BE69C3" w:rsidRDefault="00BE69C3" w:rsidP="0029470A">
      <w:pPr>
        <w:pStyle w:val="Heading5"/>
        <w:spacing w:before="20" w:after="20"/>
        <w:rPr>
          <w:b w:val="0"/>
          <w:i w:val="0"/>
          <w:noProof/>
          <w:color w:val="000000"/>
          <w:sz w:val="24"/>
        </w:rPr>
      </w:pPr>
    </w:p>
    <w:p w:rsidR="00BE69C3" w:rsidRDefault="00BE69C3" w:rsidP="0029470A">
      <w:pPr>
        <w:pStyle w:val="Heading5"/>
        <w:spacing w:before="20" w:after="20"/>
        <w:rPr>
          <w:b w:val="0"/>
          <w:i w:val="0"/>
          <w:noProof/>
          <w:color w:val="000000"/>
          <w:sz w:val="24"/>
        </w:rPr>
      </w:pPr>
    </w:p>
    <w:p w:rsidR="00BE69C3" w:rsidRDefault="00BE69C3" w:rsidP="0029470A">
      <w:pPr>
        <w:pStyle w:val="Heading5"/>
        <w:spacing w:before="20" w:after="20"/>
        <w:rPr>
          <w:b w:val="0"/>
          <w:i w:val="0"/>
          <w:noProof/>
          <w:color w:val="000000"/>
          <w:sz w:val="24"/>
        </w:rPr>
      </w:pPr>
    </w:p>
    <w:p w:rsidR="00BE69C3" w:rsidRDefault="00BE69C3" w:rsidP="0029470A">
      <w:pPr>
        <w:pStyle w:val="Heading5"/>
        <w:spacing w:before="20" w:after="20"/>
        <w:rPr>
          <w:b w:val="0"/>
          <w:i w:val="0"/>
          <w:noProof/>
          <w:color w:val="000000"/>
          <w:sz w:val="24"/>
        </w:rPr>
      </w:pPr>
    </w:p>
    <w:p w:rsidR="00BE69C3" w:rsidRDefault="00BE69C3" w:rsidP="0029470A">
      <w:pPr>
        <w:pStyle w:val="Heading5"/>
        <w:spacing w:before="20" w:after="20"/>
        <w:rPr>
          <w:b w:val="0"/>
          <w:i w:val="0"/>
          <w:noProof/>
          <w:color w:val="000000"/>
          <w:sz w:val="24"/>
        </w:rPr>
      </w:pPr>
    </w:p>
    <w:p w:rsidR="00BE69C3" w:rsidRDefault="00BE69C3" w:rsidP="0029470A">
      <w:pPr>
        <w:pStyle w:val="Heading5"/>
        <w:spacing w:before="20" w:after="20"/>
        <w:rPr>
          <w:b w:val="0"/>
          <w:i w:val="0"/>
          <w:noProof/>
          <w:color w:val="000000"/>
          <w:sz w:val="24"/>
        </w:rPr>
      </w:pPr>
    </w:p>
    <w:p w:rsidR="0029470A" w:rsidRDefault="0029470A" w:rsidP="0029470A">
      <w:pPr>
        <w:pStyle w:val="Heading5"/>
        <w:spacing w:before="20" w:after="20"/>
        <w:rPr>
          <w:b w:val="0"/>
          <w:i w:val="0"/>
          <w:color w:val="000000"/>
          <w:sz w:val="24"/>
        </w:rPr>
      </w:pPr>
      <w:r>
        <w:rPr>
          <w:b w:val="0"/>
          <w:i w:val="0"/>
          <w:noProof/>
          <w:color w:val="000000"/>
          <w:sz w:val="24"/>
        </w:rPr>
        <w:t>12 Планирани единични суми — финансова таблица с крайни продукти</w:t>
      </w:r>
      <w:bookmarkEnd w:id="11"/>
    </w:p>
    <w:p w:rsidR="0029470A" w:rsidRDefault="0029470A" w:rsidP="0029470A">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4"/>
        <w:gridCol w:w="2137"/>
        <w:gridCol w:w="1508"/>
        <w:gridCol w:w="1508"/>
        <w:gridCol w:w="1508"/>
        <w:gridCol w:w="1508"/>
        <w:gridCol w:w="1508"/>
        <w:gridCol w:w="1645"/>
      </w:tblGrid>
      <w:tr w:rsidR="0029470A" w:rsidTr="009934B4">
        <w:trPr>
          <w:trHeight w:val="160"/>
          <w:tblHeader/>
        </w:trPr>
        <w:tc>
          <w:tcPr>
            <w:tcW w:w="644" w:type="pct"/>
            <w:vMerge w:val="restar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rPr>
                <w:b/>
                <w:color w:val="000000"/>
                <w:sz w:val="20"/>
              </w:rPr>
            </w:pPr>
            <w:r>
              <w:rPr>
                <w:b/>
                <w:noProof/>
                <w:color w:val="000000"/>
                <w:sz w:val="20"/>
              </w:rPr>
              <w:t>Планирана единична сума</w:t>
            </w:r>
          </w:p>
        </w:tc>
        <w:tc>
          <w:tcPr>
            <w:tcW w:w="822"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rPr>
                <w:b/>
                <w:color w:val="000000"/>
                <w:sz w:val="20"/>
              </w:rPr>
            </w:pPr>
            <w:r>
              <w:rPr>
                <w:b/>
                <w:noProof/>
                <w:color w:val="000000"/>
                <w:sz w:val="20"/>
              </w:rPr>
              <w:t>Финансова година</w:t>
            </w:r>
          </w:p>
        </w:tc>
        <w:tc>
          <w:tcPr>
            <w:tcW w:w="58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jc w:val="right"/>
              <w:rPr>
                <w:b/>
                <w:color w:val="000000"/>
                <w:sz w:val="20"/>
              </w:rPr>
            </w:pPr>
            <w:r>
              <w:rPr>
                <w:b/>
                <w:noProof/>
                <w:color w:val="000000"/>
                <w:sz w:val="20"/>
              </w:rPr>
              <w:t>2024</w:t>
            </w:r>
          </w:p>
        </w:tc>
        <w:tc>
          <w:tcPr>
            <w:tcW w:w="58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jc w:val="right"/>
              <w:rPr>
                <w:b/>
                <w:color w:val="000000"/>
                <w:sz w:val="20"/>
              </w:rPr>
            </w:pPr>
            <w:r>
              <w:rPr>
                <w:b/>
                <w:noProof/>
                <w:color w:val="000000"/>
                <w:sz w:val="20"/>
              </w:rPr>
              <w:t>2025</w:t>
            </w:r>
          </w:p>
        </w:tc>
        <w:tc>
          <w:tcPr>
            <w:tcW w:w="58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jc w:val="right"/>
              <w:rPr>
                <w:b/>
                <w:color w:val="000000"/>
                <w:sz w:val="20"/>
              </w:rPr>
            </w:pPr>
            <w:r>
              <w:rPr>
                <w:b/>
                <w:noProof/>
                <w:color w:val="000000"/>
                <w:sz w:val="20"/>
              </w:rPr>
              <w:t>2026</w:t>
            </w:r>
          </w:p>
        </w:tc>
        <w:tc>
          <w:tcPr>
            <w:tcW w:w="58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jc w:val="right"/>
              <w:rPr>
                <w:b/>
                <w:color w:val="000000"/>
                <w:sz w:val="20"/>
              </w:rPr>
            </w:pPr>
            <w:r>
              <w:rPr>
                <w:b/>
                <w:noProof/>
                <w:color w:val="000000"/>
                <w:sz w:val="20"/>
              </w:rPr>
              <w:t>2027</w:t>
            </w:r>
          </w:p>
        </w:tc>
        <w:tc>
          <w:tcPr>
            <w:tcW w:w="58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jc w:val="right"/>
              <w:rPr>
                <w:b/>
                <w:color w:val="000000"/>
                <w:sz w:val="20"/>
              </w:rPr>
            </w:pPr>
            <w:r>
              <w:rPr>
                <w:b/>
                <w:noProof/>
                <w:color w:val="000000"/>
                <w:sz w:val="20"/>
              </w:rPr>
              <w:t>2028</w:t>
            </w:r>
          </w:p>
        </w:tc>
        <w:tc>
          <w:tcPr>
            <w:tcW w:w="633"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jc w:val="right"/>
              <w:rPr>
                <w:b/>
                <w:color w:val="000000"/>
                <w:sz w:val="20"/>
              </w:rPr>
            </w:pPr>
            <w:r>
              <w:rPr>
                <w:b/>
                <w:noProof/>
                <w:color w:val="000000"/>
                <w:sz w:val="20"/>
              </w:rPr>
              <w:t>Общо за периода 2024—2028 г.</w:t>
            </w:r>
          </w:p>
        </w:tc>
      </w:tr>
      <w:tr w:rsidR="0029470A" w:rsidTr="009934B4">
        <w:trPr>
          <w:trHeight w:val="160"/>
          <w:tblHeader/>
        </w:trPr>
        <w:tc>
          <w:tcPr>
            <w:tcW w:w="644" w:type="pct"/>
            <w:vMerge/>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jc w:val="right"/>
              <w:rPr>
                <w:b/>
                <w:color w:val="000000"/>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rPr>
                <w:b/>
                <w:color w:val="000000"/>
                <w:sz w:val="20"/>
              </w:rPr>
            </w:pPr>
            <w:r>
              <w:rPr>
                <w:b/>
                <w:noProof/>
                <w:color w:val="000000"/>
                <w:sz w:val="20"/>
              </w:rPr>
              <w:t>Календарна година</w:t>
            </w:r>
          </w:p>
        </w:tc>
        <w:tc>
          <w:tcPr>
            <w:tcW w:w="58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jc w:val="right"/>
              <w:rPr>
                <w:b/>
                <w:color w:val="000000"/>
                <w:sz w:val="20"/>
              </w:rPr>
            </w:pPr>
            <w:r>
              <w:rPr>
                <w:b/>
                <w:noProof/>
                <w:color w:val="000000"/>
                <w:sz w:val="20"/>
              </w:rPr>
              <w:t>2023</w:t>
            </w:r>
          </w:p>
        </w:tc>
        <w:tc>
          <w:tcPr>
            <w:tcW w:w="58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jc w:val="right"/>
              <w:rPr>
                <w:b/>
                <w:color w:val="000000"/>
                <w:sz w:val="20"/>
              </w:rPr>
            </w:pPr>
            <w:r>
              <w:rPr>
                <w:b/>
                <w:noProof/>
                <w:color w:val="000000"/>
                <w:sz w:val="20"/>
              </w:rPr>
              <w:t>2024</w:t>
            </w:r>
          </w:p>
        </w:tc>
        <w:tc>
          <w:tcPr>
            <w:tcW w:w="58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jc w:val="right"/>
              <w:rPr>
                <w:b/>
                <w:color w:val="000000"/>
                <w:sz w:val="20"/>
              </w:rPr>
            </w:pPr>
            <w:r>
              <w:rPr>
                <w:b/>
                <w:noProof/>
                <w:color w:val="000000"/>
                <w:sz w:val="20"/>
              </w:rPr>
              <w:t>2025</w:t>
            </w:r>
          </w:p>
        </w:tc>
        <w:tc>
          <w:tcPr>
            <w:tcW w:w="58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jc w:val="right"/>
              <w:rPr>
                <w:b/>
                <w:color w:val="000000"/>
                <w:sz w:val="20"/>
              </w:rPr>
            </w:pPr>
            <w:r>
              <w:rPr>
                <w:b/>
                <w:noProof/>
                <w:color w:val="000000"/>
                <w:sz w:val="20"/>
              </w:rPr>
              <w:t>2026</w:t>
            </w:r>
          </w:p>
        </w:tc>
        <w:tc>
          <w:tcPr>
            <w:tcW w:w="58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jc w:val="right"/>
              <w:rPr>
                <w:b/>
                <w:color w:val="000000"/>
                <w:sz w:val="20"/>
              </w:rPr>
            </w:pPr>
            <w:r>
              <w:rPr>
                <w:b/>
                <w:noProof/>
                <w:color w:val="000000"/>
                <w:sz w:val="20"/>
              </w:rPr>
              <w:t>2027</w:t>
            </w:r>
          </w:p>
        </w:tc>
        <w:tc>
          <w:tcPr>
            <w:tcW w:w="633"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9470A" w:rsidRDefault="0029470A" w:rsidP="003F7CE1">
            <w:pPr>
              <w:spacing w:before="20" w:after="20"/>
              <w:jc w:val="right"/>
              <w:rPr>
                <w:color w:val="000000"/>
                <w:sz w:val="20"/>
              </w:rPr>
            </w:pPr>
            <w:r>
              <w:rPr>
                <w:b/>
                <w:noProof/>
                <w:color w:val="000000"/>
                <w:sz w:val="20"/>
              </w:rPr>
              <w:t>Общо за периода 2023—2027 г.</w:t>
            </w:r>
          </w:p>
        </w:tc>
      </w:tr>
      <w:tr w:rsidR="0029470A" w:rsidTr="009934B4">
        <w:trPr>
          <w:trHeight w:val="160"/>
        </w:trPr>
        <w:tc>
          <w:tcPr>
            <w:tcW w:w="644"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I.Б.17-1 - Ставка без модулация</w:t>
            </w:r>
          </w:p>
        </w:tc>
        <w:tc>
          <w:tcPr>
            <w:tcW w:w="82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Планирана единична сума</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8 184,44</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8 184,44</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8 184,44</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Pr="009135BB" w:rsidRDefault="009135BB" w:rsidP="003F7CE1">
            <w:pPr>
              <w:spacing w:before="20" w:after="20"/>
              <w:jc w:val="right"/>
              <w:rPr>
                <w:color w:val="FF0000"/>
                <w:sz w:val="20"/>
              </w:rPr>
            </w:pPr>
            <w:r w:rsidRPr="009135BB">
              <w:rPr>
                <w:noProof/>
                <w:color w:val="FF0000"/>
                <w:sz w:val="20"/>
              </w:rPr>
              <w:t>8 184,44</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63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r>
      <w:tr w:rsidR="0029470A" w:rsidTr="009934B4">
        <w:trPr>
          <w:trHeight w:val="160"/>
        </w:trPr>
        <w:tc>
          <w:tcPr>
            <w:tcW w:w="644"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Минимална сума за планираната единична сума</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6 547,55</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6 547,55</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6 547,55</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Pr="009135BB" w:rsidRDefault="009135BB" w:rsidP="003F7CE1">
            <w:pPr>
              <w:spacing w:before="20" w:after="20"/>
              <w:jc w:val="right"/>
              <w:rPr>
                <w:color w:val="FF0000"/>
                <w:sz w:val="20"/>
              </w:rPr>
            </w:pPr>
            <w:r w:rsidRPr="009135BB">
              <w:rPr>
                <w:noProof/>
                <w:color w:val="FF0000"/>
                <w:sz w:val="20"/>
              </w:rPr>
              <w:t>6 547,55</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63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r>
      <w:tr w:rsidR="0029470A" w:rsidTr="009934B4">
        <w:trPr>
          <w:trHeight w:val="160"/>
        </w:trPr>
        <w:tc>
          <w:tcPr>
            <w:tcW w:w="644"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Максимална сума за планираната единична сума (евро)</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9 821,33</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9 821,33</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9 821,33</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Pr="009135BB" w:rsidRDefault="009135BB" w:rsidP="003F7CE1">
            <w:pPr>
              <w:spacing w:before="20" w:after="20"/>
              <w:jc w:val="right"/>
              <w:rPr>
                <w:color w:val="FF0000"/>
                <w:sz w:val="20"/>
              </w:rPr>
            </w:pPr>
            <w:r w:rsidRPr="009135BB">
              <w:rPr>
                <w:noProof/>
                <w:color w:val="FF0000"/>
                <w:sz w:val="20"/>
              </w:rPr>
              <w:t>9 821,33</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63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r>
      <w:tr w:rsidR="0029470A" w:rsidTr="009934B4">
        <w:trPr>
          <w:trHeight w:val="160"/>
        </w:trPr>
        <w:tc>
          <w:tcPr>
            <w:tcW w:w="644"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O.10 (единица: Хектари)</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710,15</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762,77</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771,88</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Pr="00230759" w:rsidRDefault="00230759" w:rsidP="003F7CE1">
            <w:pPr>
              <w:spacing w:before="20" w:after="20"/>
              <w:jc w:val="right"/>
              <w:rPr>
                <w:color w:val="000000"/>
                <w:sz w:val="20"/>
                <w:lang w:val="bg-BG"/>
              </w:rPr>
            </w:pPr>
            <w:r w:rsidRPr="00230759">
              <w:rPr>
                <w:color w:val="FF0000"/>
                <w:sz w:val="20"/>
                <w:lang w:val="bg-BG"/>
              </w:rPr>
              <w:t>802,89</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63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r>
      <w:tr w:rsidR="0029470A" w:rsidTr="009934B4">
        <w:trPr>
          <w:trHeight w:val="160"/>
        </w:trPr>
        <w:tc>
          <w:tcPr>
            <w:tcW w:w="644"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Планиран краен продукт * Планирана единична сума</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5 812 180,07</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6 242 845,30</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6 317 405,55</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9135BB" w:rsidP="003F7CE1">
            <w:pPr>
              <w:spacing w:before="20" w:after="20"/>
              <w:jc w:val="right"/>
              <w:rPr>
                <w:color w:val="000000"/>
                <w:sz w:val="20"/>
              </w:rPr>
            </w:pPr>
            <w:r w:rsidRPr="009135BB">
              <w:rPr>
                <w:noProof/>
                <w:color w:val="FF0000"/>
                <w:sz w:val="20"/>
              </w:rPr>
              <w:t>6 571 218,33</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63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Pr="009934B4" w:rsidRDefault="0029470A" w:rsidP="003F7CE1">
            <w:pPr>
              <w:spacing w:before="20" w:after="20"/>
              <w:jc w:val="right"/>
              <w:rPr>
                <w:color w:val="000000"/>
                <w:sz w:val="20"/>
                <w:lang w:val="bg-BG"/>
              </w:rPr>
            </w:pPr>
            <w:r w:rsidRPr="009934B4">
              <w:rPr>
                <w:strike/>
                <w:noProof/>
                <w:color w:val="000000"/>
                <w:sz w:val="20"/>
              </w:rPr>
              <w:t>18 372 430,92</w:t>
            </w:r>
            <w:r w:rsidR="009934B4">
              <w:rPr>
                <w:noProof/>
                <w:color w:val="000000"/>
                <w:sz w:val="20"/>
                <w:lang w:val="bg-BG"/>
              </w:rPr>
              <w:t xml:space="preserve"> </w:t>
            </w:r>
            <w:r w:rsidR="00BE69C3">
              <w:rPr>
                <w:noProof/>
                <w:color w:val="000000"/>
                <w:sz w:val="20"/>
              </w:rPr>
              <w:t xml:space="preserve">     </w:t>
            </w:r>
            <w:bookmarkStart w:id="12" w:name="_GoBack"/>
            <w:bookmarkEnd w:id="12"/>
            <w:r w:rsidR="009934B4" w:rsidRPr="009934B4">
              <w:rPr>
                <w:noProof/>
                <w:color w:val="FF0000"/>
                <w:sz w:val="20"/>
                <w:lang w:val="bg-BG"/>
              </w:rPr>
              <w:t>24 943 649,20</w:t>
            </w:r>
          </w:p>
        </w:tc>
      </w:tr>
      <w:tr w:rsidR="0029470A" w:rsidTr="009934B4">
        <w:trPr>
          <w:trHeight w:val="160"/>
        </w:trPr>
        <w:tc>
          <w:tcPr>
            <w:tcW w:w="644"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I.Б.17-2  - Неотопляеми оранжерии</w:t>
            </w:r>
          </w:p>
        </w:tc>
        <w:tc>
          <w:tcPr>
            <w:tcW w:w="82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Планирана единична сума</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Pr="009135BB" w:rsidRDefault="0029470A" w:rsidP="003F7CE1">
            <w:pPr>
              <w:spacing w:before="20" w:after="20"/>
              <w:jc w:val="right"/>
              <w:rPr>
                <w:strike/>
                <w:color w:val="000000"/>
                <w:sz w:val="20"/>
              </w:rPr>
            </w:pPr>
            <w:r w:rsidRPr="009135BB">
              <w:rPr>
                <w:strike/>
                <w:noProof/>
                <w:color w:val="000000"/>
                <w:sz w:val="20"/>
              </w:rPr>
              <w:t>5 301,00</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5 301,00</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r>
      <w:tr w:rsidR="0029470A" w:rsidTr="009934B4">
        <w:trPr>
          <w:trHeight w:val="160"/>
        </w:trPr>
        <w:tc>
          <w:tcPr>
            <w:tcW w:w="644"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Минимална сума за планираната единична сума</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Pr="009135BB" w:rsidRDefault="0029470A" w:rsidP="003F7CE1">
            <w:pPr>
              <w:spacing w:before="20" w:after="20"/>
              <w:jc w:val="right"/>
              <w:rPr>
                <w:strike/>
                <w:color w:val="000000"/>
                <w:sz w:val="20"/>
              </w:rPr>
            </w:pPr>
            <w:r w:rsidRPr="009135BB">
              <w:rPr>
                <w:strike/>
                <w:noProof/>
                <w:color w:val="000000"/>
                <w:sz w:val="20"/>
              </w:rPr>
              <w:t>4 240,80</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4 240,80</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r>
      <w:tr w:rsidR="0029470A" w:rsidTr="009934B4">
        <w:trPr>
          <w:trHeight w:val="160"/>
        </w:trPr>
        <w:tc>
          <w:tcPr>
            <w:tcW w:w="644"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Максимална сума за планираната единична сума (евро)</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Pr="009135BB" w:rsidRDefault="0029470A" w:rsidP="003F7CE1">
            <w:pPr>
              <w:spacing w:before="20" w:after="20"/>
              <w:jc w:val="right"/>
              <w:rPr>
                <w:strike/>
                <w:color w:val="000000"/>
                <w:sz w:val="20"/>
              </w:rPr>
            </w:pPr>
            <w:r w:rsidRPr="009135BB">
              <w:rPr>
                <w:strike/>
                <w:noProof/>
                <w:color w:val="000000"/>
                <w:sz w:val="20"/>
              </w:rPr>
              <w:t>6 361,20</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6 361,20</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r>
      <w:tr w:rsidR="0029470A" w:rsidTr="009934B4">
        <w:trPr>
          <w:trHeight w:val="160"/>
        </w:trPr>
        <w:tc>
          <w:tcPr>
            <w:tcW w:w="644"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O.10 (единица: Хектари)</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Pr="009135BB" w:rsidRDefault="0029470A" w:rsidP="003F7CE1">
            <w:pPr>
              <w:spacing w:before="20" w:after="20"/>
              <w:jc w:val="right"/>
              <w:rPr>
                <w:strike/>
                <w:color w:val="000000"/>
                <w:sz w:val="20"/>
              </w:rPr>
            </w:pPr>
            <w:r w:rsidRPr="009135BB">
              <w:rPr>
                <w:strike/>
                <w:noProof/>
                <w:color w:val="000000"/>
                <w:sz w:val="20"/>
              </w:rPr>
              <w:t>606,00</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606,00</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r>
      <w:tr w:rsidR="0029470A" w:rsidTr="009934B4">
        <w:trPr>
          <w:trHeight w:val="160"/>
        </w:trPr>
        <w:tc>
          <w:tcPr>
            <w:tcW w:w="644"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Планиран краен продукт * Планирана единична сума</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Pr="009135BB" w:rsidRDefault="0029470A" w:rsidP="003F7CE1">
            <w:pPr>
              <w:spacing w:before="20" w:after="20"/>
              <w:jc w:val="right"/>
              <w:rPr>
                <w:strike/>
                <w:color w:val="000000"/>
                <w:sz w:val="20"/>
              </w:rPr>
            </w:pPr>
            <w:r w:rsidRPr="009135BB">
              <w:rPr>
                <w:strike/>
                <w:noProof/>
                <w:color w:val="000000"/>
                <w:sz w:val="20"/>
              </w:rPr>
              <w:t>3 212 406,00</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3 212 406,00</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Pr="009934B4" w:rsidRDefault="0029470A" w:rsidP="003F7CE1">
            <w:pPr>
              <w:spacing w:before="20" w:after="20"/>
              <w:jc w:val="right"/>
              <w:rPr>
                <w:color w:val="000000"/>
                <w:sz w:val="20"/>
                <w:lang w:val="bg-BG"/>
              </w:rPr>
            </w:pPr>
            <w:r w:rsidRPr="009934B4">
              <w:rPr>
                <w:strike/>
                <w:noProof/>
                <w:color w:val="000000"/>
                <w:sz w:val="20"/>
              </w:rPr>
              <w:t>6 424 812,00</w:t>
            </w:r>
            <w:r w:rsidR="009934B4">
              <w:rPr>
                <w:noProof/>
                <w:color w:val="000000"/>
                <w:sz w:val="20"/>
                <w:lang w:val="bg-BG"/>
              </w:rPr>
              <w:t xml:space="preserve"> </w:t>
            </w:r>
            <w:r w:rsidR="009934B4" w:rsidRPr="009934B4">
              <w:rPr>
                <w:noProof/>
                <w:color w:val="FF0000"/>
                <w:sz w:val="20"/>
              </w:rPr>
              <w:t>3 212 406,00</w:t>
            </w:r>
          </w:p>
        </w:tc>
      </w:tr>
      <w:tr w:rsidR="0029470A" w:rsidTr="009934B4">
        <w:trPr>
          <w:trHeight w:val="160"/>
        </w:trPr>
        <w:tc>
          <w:tcPr>
            <w:tcW w:w="644"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I.Б.17-3 - Отопляеми оранжерии</w:t>
            </w:r>
          </w:p>
        </w:tc>
        <w:tc>
          <w:tcPr>
            <w:tcW w:w="82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Планирана единична сума</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Pr="009135BB" w:rsidRDefault="0029470A" w:rsidP="003F7CE1">
            <w:pPr>
              <w:spacing w:before="20" w:after="20"/>
              <w:jc w:val="right"/>
              <w:rPr>
                <w:strike/>
                <w:color w:val="000000"/>
                <w:sz w:val="20"/>
              </w:rPr>
            </w:pPr>
            <w:r w:rsidRPr="009135BB">
              <w:rPr>
                <w:strike/>
                <w:noProof/>
                <w:color w:val="000000"/>
                <w:sz w:val="20"/>
              </w:rPr>
              <w:t>8 184,44</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8 184,44</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r>
      <w:tr w:rsidR="0029470A" w:rsidTr="009934B4">
        <w:trPr>
          <w:trHeight w:val="160"/>
        </w:trPr>
        <w:tc>
          <w:tcPr>
            <w:tcW w:w="644"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Минимална сума за планираната единична сума</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Pr="009135BB" w:rsidRDefault="0029470A" w:rsidP="003F7CE1">
            <w:pPr>
              <w:spacing w:before="20" w:after="20"/>
              <w:jc w:val="right"/>
              <w:rPr>
                <w:strike/>
                <w:color w:val="000000"/>
                <w:sz w:val="20"/>
              </w:rPr>
            </w:pPr>
            <w:r w:rsidRPr="009135BB">
              <w:rPr>
                <w:strike/>
                <w:noProof/>
                <w:color w:val="000000"/>
                <w:sz w:val="20"/>
              </w:rPr>
              <w:t>6 547,55</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6 547,55</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r>
      <w:tr w:rsidR="0029470A" w:rsidTr="009934B4">
        <w:trPr>
          <w:trHeight w:val="160"/>
        </w:trPr>
        <w:tc>
          <w:tcPr>
            <w:tcW w:w="644"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Максимална сума за планираната единична сума (евро)</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Pr="009135BB" w:rsidRDefault="0029470A" w:rsidP="003F7CE1">
            <w:pPr>
              <w:spacing w:before="20" w:after="20"/>
              <w:jc w:val="right"/>
              <w:rPr>
                <w:strike/>
                <w:color w:val="000000"/>
                <w:sz w:val="20"/>
              </w:rPr>
            </w:pPr>
            <w:r w:rsidRPr="009135BB">
              <w:rPr>
                <w:strike/>
                <w:noProof/>
                <w:color w:val="000000"/>
                <w:sz w:val="20"/>
              </w:rPr>
              <w:t>9 821,33</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9 821,33</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r>
      <w:tr w:rsidR="0029470A" w:rsidTr="009934B4">
        <w:trPr>
          <w:trHeight w:val="160"/>
        </w:trPr>
        <w:tc>
          <w:tcPr>
            <w:tcW w:w="644"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O.10 (единица: Хектари)</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Pr="009135BB" w:rsidRDefault="0029470A" w:rsidP="003F7CE1">
            <w:pPr>
              <w:spacing w:before="20" w:after="20"/>
              <w:jc w:val="right"/>
              <w:rPr>
                <w:strike/>
                <w:color w:val="000000"/>
                <w:sz w:val="20"/>
              </w:rPr>
            </w:pPr>
            <w:r w:rsidRPr="009135BB">
              <w:rPr>
                <w:strike/>
                <w:noProof/>
                <w:color w:val="000000"/>
                <w:sz w:val="20"/>
              </w:rPr>
              <w:t>410,39</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410,38</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r>
      <w:tr w:rsidR="0029470A" w:rsidTr="009934B4">
        <w:trPr>
          <w:trHeight w:val="160"/>
        </w:trPr>
        <w:tc>
          <w:tcPr>
            <w:tcW w:w="644"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Планиран краен продукт * Планирана единична сума</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Pr="009135BB" w:rsidRDefault="0029470A" w:rsidP="003F7CE1">
            <w:pPr>
              <w:spacing w:before="20" w:after="20"/>
              <w:jc w:val="right"/>
              <w:rPr>
                <w:strike/>
                <w:color w:val="000000"/>
                <w:sz w:val="20"/>
              </w:rPr>
            </w:pPr>
            <w:r w:rsidRPr="009135BB">
              <w:rPr>
                <w:strike/>
                <w:noProof/>
                <w:color w:val="000000"/>
                <w:sz w:val="20"/>
              </w:rPr>
              <w:t>3 358 812,33</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jc w:val="right"/>
              <w:rPr>
                <w:color w:val="000000"/>
                <w:sz w:val="20"/>
              </w:rPr>
            </w:pPr>
            <w:r>
              <w:rPr>
                <w:noProof/>
                <w:color w:val="000000"/>
                <w:sz w:val="20"/>
              </w:rPr>
              <w:t>3 358 730,49</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Pr="009934B4" w:rsidRDefault="0029470A" w:rsidP="003F7CE1">
            <w:pPr>
              <w:spacing w:before="20" w:after="20"/>
              <w:jc w:val="right"/>
              <w:rPr>
                <w:color w:val="000000"/>
                <w:sz w:val="20"/>
                <w:lang w:val="bg-BG"/>
              </w:rPr>
            </w:pPr>
            <w:r w:rsidRPr="009934B4">
              <w:rPr>
                <w:strike/>
                <w:noProof/>
                <w:color w:val="000000"/>
                <w:sz w:val="20"/>
              </w:rPr>
              <w:t>6 717 542,82</w:t>
            </w:r>
            <w:r w:rsidR="009934B4">
              <w:rPr>
                <w:noProof/>
                <w:color w:val="000000"/>
                <w:sz w:val="20"/>
                <w:lang w:val="bg-BG"/>
              </w:rPr>
              <w:t xml:space="preserve"> </w:t>
            </w:r>
            <w:r w:rsidR="009934B4" w:rsidRPr="009934B4">
              <w:rPr>
                <w:noProof/>
                <w:color w:val="FF0000"/>
                <w:sz w:val="20"/>
              </w:rPr>
              <w:t>3 358 730,49</w:t>
            </w:r>
          </w:p>
        </w:tc>
      </w:tr>
      <w:tr w:rsidR="0029470A" w:rsidTr="009934B4">
        <w:trPr>
          <w:trHeight w:val="160"/>
        </w:trPr>
        <w:tc>
          <w:tcPr>
            <w:tcW w:w="644"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r>
              <w:rPr>
                <w:noProof/>
                <w:color w:val="000000"/>
                <w:sz w:val="20"/>
              </w:rPr>
              <w:t>ОБЩО</w:t>
            </w:r>
          </w:p>
        </w:tc>
        <w:tc>
          <w:tcPr>
            <w:tcW w:w="82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rPr>
                <w:color w:val="000000"/>
                <w:sz w:val="20"/>
              </w:rPr>
            </w:pPr>
            <w:r>
              <w:rPr>
                <w:noProof/>
                <w:color w:val="000000"/>
                <w:sz w:val="20"/>
              </w:rPr>
              <w:t>O.10 (единица: Хектари)</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jc w:val="right"/>
              <w:rPr>
                <w:color w:val="000000"/>
                <w:sz w:val="20"/>
              </w:rPr>
            </w:pPr>
            <w:r>
              <w:rPr>
                <w:noProof/>
                <w:color w:val="000000"/>
                <w:sz w:val="20"/>
              </w:rPr>
              <w:t>710,15</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jc w:val="right"/>
              <w:rPr>
                <w:color w:val="000000"/>
                <w:sz w:val="20"/>
              </w:rPr>
            </w:pPr>
            <w:r>
              <w:rPr>
                <w:noProof/>
                <w:color w:val="000000"/>
                <w:sz w:val="20"/>
              </w:rPr>
              <w:t>762,77</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jc w:val="right"/>
              <w:rPr>
                <w:color w:val="000000"/>
                <w:sz w:val="20"/>
              </w:rPr>
            </w:pPr>
            <w:r>
              <w:rPr>
                <w:noProof/>
                <w:color w:val="000000"/>
                <w:sz w:val="20"/>
              </w:rPr>
              <w:t>771,88</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Pr="00230759" w:rsidRDefault="0029470A" w:rsidP="003F7CE1">
            <w:pPr>
              <w:spacing w:before="20" w:after="20"/>
              <w:jc w:val="right"/>
              <w:rPr>
                <w:strike/>
                <w:color w:val="000000"/>
                <w:sz w:val="20"/>
                <w:lang w:val="bg-BG"/>
              </w:rPr>
            </w:pPr>
            <w:r w:rsidRPr="00230759">
              <w:rPr>
                <w:strike/>
                <w:noProof/>
                <w:color w:val="000000"/>
                <w:sz w:val="20"/>
              </w:rPr>
              <w:t>1 016,39</w:t>
            </w:r>
            <w:r w:rsidR="00230759">
              <w:rPr>
                <w:strike/>
                <w:noProof/>
                <w:color w:val="000000"/>
                <w:sz w:val="20"/>
                <w:lang w:val="bg-BG"/>
              </w:rPr>
              <w:t xml:space="preserve"> </w:t>
            </w:r>
            <w:r w:rsidR="00BE69C3">
              <w:rPr>
                <w:strike/>
                <w:noProof/>
                <w:color w:val="000000"/>
                <w:sz w:val="20"/>
              </w:rPr>
              <w:t xml:space="preserve">    </w:t>
            </w:r>
            <w:r w:rsidR="00230759" w:rsidRPr="00230759">
              <w:rPr>
                <w:noProof/>
                <w:color w:val="FF0000"/>
                <w:sz w:val="20"/>
                <w:lang w:val="bg-BG"/>
              </w:rPr>
              <w:t>802,89</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jc w:val="right"/>
              <w:rPr>
                <w:color w:val="000000"/>
                <w:sz w:val="20"/>
              </w:rPr>
            </w:pPr>
            <w:r>
              <w:rPr>
                <w:noProof/>
                <w:color w:val="000000"/>
                <w:sz w:val="20"/>
              </w:rPr>
              <w:t>1 016,38</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rPr>
                <w:b/>
                <w:color w:val="000000"/>
                <w:sz w:val="20"/>
              </w:rPr>
            </w:pPr>
            <w:r>
              <w:rPr>
                <w:b/>
                <w:noProof/>
                <w:color w:val="000000"/>
                <w:sz w:val="20"/>
              </w:rPr>
              <w:t xml:space="preserve">Сума: </w:t>
            </w:r>
          </w:p>
          <w:p w:rsidR="0029470A" w:rsidRPr="009934B4" w:rsidRDefault="0029470A" w:rsidP="003F7CE1">
            <w:pPr>
              <w:spacing w:before="20" w:after="20"/>
              <w:jc w:val="right"/>
              <w:rPr>
                <w:strike/>
                <w:color w:val="000000"/>
                <w:sz w:val="20"/>
                <w:lang w:val="bg-BG"/>
              </w:rPr>
            </w:pPr>
            <w:r w:rsidRPr="009934B4">
              <w:rPr>
                <w:strike/>
                <w:noProof/>
                <w:color w:val="000000"/>
                <w:sz w:val="20"/>
              </w:rPr>
              <w:t>4 277,57</w:t>
            </w:r>
            <w:r w:rsidR="009934B4">
              <w:rPr>
                <w:strike/>
                <w:noProof/>
                <w:color w:val="000000"/>
                <w:sz w:val="20"/>
                <w:lang w:val="bg-BG"/>
              </w:rPr>
              <w:t xml:space="preserve">        </w:t>
            </w:r>
            <w:r w:rsidR="00BE69C3">
              <w:rPr>
                <w:strike/>
                <w:noProof/>
                <w:color w:val="000000"/>
                <w:sz w:val="20"/>
              </w:rPr>
              <w:t xml:space="preserve">         </w:t>
            </w:r>
            <w:r w:rsidR="009934B4" w:rsidRPr="009934B4">
              <w:rPr>
                <w:noProof/>
                <w:color w:val="FF0000"/>
                <w:sz w:val="20"/>
                <w:lang w:val="bg-BG"/>
              </w:rPr>
              <w:t>4 064,07</w:t>
            </w:r>
          </w:p>
          <w:p w:rsidR="0029470A" w:rsidRDefault="0029470A" w:rsidP="003F7CE1">
            <w:pPr>
              <w:spacing w:before="20" w:after="20"/>
              <w:rPr>
                <w:b/>
                <w:color w:val="000000"/>
                <w:sz w:val="20"/>
              </w:rPr>
            </w:pPr>
            <w:r>
              <w:rPr>
                <w:b/>
                <w:noProof/>
                <w:color w:val="000000"/>
                <w:sz w:val="20"/>
              </w:rPr>
              <w:t xml:space="preserve">Макс.: </w:t>
            </w:r>
          </w:p>
          <w:p w:rsidR="0029470A" w:rsidRDefault="0029470A" w:rsidP="003F7CE1">
            <w:pPr>
              <w:spacing w:before="20" w:after="20"/>
              <w:jc w:val="right"/>
              <w:rPr>
                <w:color w:val="000000"/>
                <w:sz w:val="20"/>
              </w:rPr>
            </w:pPr>
            <w:r>
              <w:rPr>
                <w:noProof/>
                <w:color w:val="000000"/>
                <w:sz w:val="20"/>
              </w:rPr>
              <w:t>1 016,39</w:t>
            </w:r>
          </w:p>
        </w:tc>
      </w:tr>
      <w:tr w:rsidR="0029470A" w:rsidTr="009934B4">
        <w:trPr>
          <w:trHeight w:val="160"/>
        </w:trPr>
        <w:tc>
          <w:tcPr>
            <w:tcW w:w="644"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rPr>
                <w:color w:val="000000"/>
                <w:sz w:val="20"/>
              </w:rPr>
            </w:pPr>
            <w:r>
              <w:rPr>
                <w:noProof/>
                <w:color w:val="000000"/>
                <w:sz w:val="20"/>
              </w:rPr>
              <w:t>Годишно ориентировъчно разпределение на финансови средства (принос на Съюза в евро)</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jc w:val="right"/>
              <w:rPr>
                <w:color w:val="000000"/>
                <w:sz w:val="20"/>
              </w:rPr>
            </w:pPr>
            <w:r>
              <w:rPr>
                <w:noProof/>
                <w:color w:val="000000"/>
                <w:sz w:val="20"/>
              </w:rPr>
              <w:t>5 812 180,07</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jc w:val="right"/>
              <w:rPr>
                <w:color w:val="000000"/>
                <w:sz w:val="20"/>
              </w:rPr>
            </w:pPr>
            <w:r>
              <w:rPr>
                <w:noProof/>
                <w:color w:val="000000"/>
                <w:sz w:val="20"/>
              </w:rPr>
              <w:t>6 242 845,30</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jc w:val="right"/>
              <w:rPr>
                <w:color w:val="000000"/>
                <w:sz w:val="20"/>
              </w:rPr>
            </w:pPr>
            <w:r>
              <w:rPr>
                <w:noProof/>
                <w:color w:val="000000"/>
                <w:sz w:val="20"/>
              </w:rPr>
              <w:t>6 317 412,53</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jc w:val="right"/>
              <w:rPr>
                <w:color w:val="000000"/>
                <w:sz w:val="20"/>
              </w:rPr>
            </w:pPr>
            <w:r>
              <w:rPr>
                <w:noProof/>
                <w:color w:val="000000"/>
                <w:sz w:val="20"/>
              </w:rPr>
              <w:t>6 571 218,33</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jc w:val="right"/>
              <w:rPr>
                <w:color w:val="000000"/>
                <w:sz w:val="20"/>
              </w:rPr>
            </w:pPr>
            <w:r>
              <w:rPr>
                <w:noProof/>
                <w:color w:val="000000"/>
                <w:sz w:val="20"/>
              </w:rPr>
              <w:t>6 571 136,49</w:t>
            </w:r>
          </w:p>
        </w:tc>
        <w:tc>
          <w:tcPr>
            <w:tcW w:w="63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jc w:val="right"/>
              <w:rPr>
                <w:color w:val="000000"/>
                <w:sz w:val="20"/>
              </w:rPr>
            </w:pPr>
            <w:r>
              <w:rPr>
                <w:noProof/>
                <w:color w:val="000000"/>
                <w:sz w:val="20"/>
              </w:rPr>
              <w:t>31 514 792,72</w:t>
            </w:r>
          </w:p>
        </w:tc>
      </w:tr>
      <w:tr w:rsidR="0029470A" w:rsidTr="009934B4">
        <w:trPr>
          <w:trHeight w:val="160"/>
        </w:trPr>
        <w:tc>
          <w:tcPr>
            <w:tcW w:w="644"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9470A" w:rsidRDefault="0029470A" w:rsidP="003F7CE1">
            <w:pPr>
              <w:spacing w:before="20" w:after="20"/>
              <w:rPr>
                <w:color w:val="000000"/>
                <w:sz w:val="20"/>
              </w:rPr>
            </w:pPr>
          </w:p>
        </w:tc>
        <w:tc>
          <w:tcPr>
            <w:tcW w:w="82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rPr>
                <w:color w:val="000000"/>
                <w:sz w:val="20"/>
              </w:rPr>
            </w:pPr>
            <w:r>
              <w:rPr>
                <w:noProof/>
                <w:color w:val="000000"/>
                <w:sz w:val="20"/>
              </w:rPr>
              <w:t xml:space="preserve">От които необходими за достигане на минималното изискване за обособяване на средства (приложение XII) (само </w:t>
            </w:r>
            <w:r>
              <w:rPr>
                <w:noProof/>
                <w:color w:val="000000"/>
                <w:sz w:val="20"/>
              </w:rPr>
              <w:lastRenderedPageBreak/>
              <w:t>съгласно член 30) (принос на Съюза)</w:t>
            </w: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jc w:val="right"/>
              <w:rPr>
                <w:color w:val="000000"/>
                <w:sz w:val="20"/>
              </w:rPr>
            </w:pPr>
          </w:p>
        </w:tc>
        <w:tc>
          <w:tcPr>
            <w:tcW w:w="58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jc w:val="right"/>
              <w:rPr>
                <w:color w:val="000000"/>
                <w:sz w:val="20"/>
              </w:rPr>
            </w:pPr>
          </w:p>
        </w:tc>
        <w:tc>
          <w:tcPr>
            <w:tcW w:w="63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9470A" w:rsidRDefault="0029470A" w:rsidP="003F7CE1">
            <w:pPr>
              <w:spacing w:before="20" w:after="20"/>
              <w:jc w:val="right"/>
              <w:rPr>
                <w:color w:val="000000"/>
                <w:sz w:val="20"/>
              </w:rPr>
            </w:pPr>
          </w:p>
        </w:tc>
      </w:tr>
    </w:tbl>
    <w:p w:rsidR="00E02B90" w:rsidRDefault="00E02B90"/>
    <w:sectPr w:rsidR="00E02B90" w:rsidSect="00BE69C3">
      <w:pgSz w:w="15840" w:h="12240" w:orient="landscape"/>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70A"/>
    <w:rsid w:val="00230759"/>
    <w:rsid w:val="0029470A"/>
    <w:rsid w:val="00660615"/>
    <w:rsid w:val="009135BB"/>
    <w:rsid w:val="00917FA6"/>
    <w:rsid w:val="009934B4"/>
    <w:rsid w:val="00BE69C3"/>
    <w:rsid w:val="00E02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1CB2F"/>
  <w15:chartTrackingRefBased/>
  <w15:docId w15:val="{22F0BE8F-3C7C-4CBA-AE7F-B80FA24B1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70A"/>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29470A"/>
    <w:pPr>
      <w:keepNext/>
      <w:spacing w:before="240" w:after="60"/>
      <w:outlineLvl w:val="3"/>
    </w:pPr>
    <w:rPr>
      <w:b/>
      <w:bCs/>
      <w:sz w:val="28"/>
      <w:szCs w:val="28"/>
    </w:rPr>
  </w:style>
  <w:style w:type="paragraph" w:styleId="Heading5">
    <w:name w:val="heading 5"/>
    <w:basedOn w:val="Normal"/>
    <w:next w:val="Normal"/>
    <w:link w:val="Heading5Char"/>
    <w:qFormat/>
    <w:rsid w:val="0029470A"/>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29470A"/>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29470A"/>
    <w:rPr>
      <w:rFonts w:ascii="Times New Roman" w:eastAsia="Times New Roman" w:hAnsi="Times New Roman"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moew.government.bg/bg/vodi/planove-za-upravlenie/planove-za-upravlenie-na-rechnite-basejni-purb/planove-za-upravlenie-na-rechnite-basejni-2022-2027-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4395</Words>
  <Characters>25052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Tsoneva</dc:creator>
  <cp:keywords/>
  <dc:description/>
  <cp:lastModifiedBy>Georgi Vasilev</cp:lastModifiedBy>
  <cp:revision>5</cp:revision>
  <dcterms:created xsi:type="dcterms:W3CDTF">2025-08-07T09:03:00Z</dcterms:created>
  <dcterms:modified xsi:type="dcterms:W3CDTF">2025-08-13T13:42:00Z</dcterms:modified>
</cp:coreProperties>
</file>